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tabs>
          <w:tab w:val="left" w:pos="708" w:leader="none"/>
        </w:tabs>
        <w:suppressAutoHyphens w:val="true"/>
        <w:bidi w:val="0"/>
        <w:spacing w:lineRule="auto" w:line="240" w:before="0" w:after="0"/>
        <w:ind w:left="0" w:right="0" w:firstLine="737"/>
        <w:jc w:val="center"/>
        <w:textAlignment w:val="baseline"/>
      </w:pPr>
      <w:r>
        <w:rPr>
          <w:rFonts w:cs="Times New Roman" w:ascii="Times New Roman" w:hAnsi="Times New Roman"/>
          <w:b/>
          <w:bCs/>
          <w:color w:val="000000"/>
          <w:sz w:val="28"/>
          <w:szCs w:val="28"/>
        </w:rPr>
        <w:t xml:space="preserve">Доклад руководителя Управления Федеральной службы судебных приставов по Севастополю – главного судебного пристава Севастополя Чудновца Юрия Викторовича </w:t>
      </w:r>
      <w:r/>
    </w:p>
    <w:p>
      <w:pPr>
        <w:pStyle w:val="Normal"/>
        <w:widowControl/>
        <w:tabs>
          <w:tab w:val="left" w:pos="708" w:leader="none"/>
        </w:tabs>
        <w:suppressAutoHyphens w:val="true"/>
        <w:bidi w:val="0"/>
        <w:spacing w:lineRule="auto" w:line="240" w:before="0" w:after="0"/>
        <w:ind w:left="0" w:right="0" w:firstLine="737"/>
        <w:jc w:val="center"/>
        <w:textAlignment w:val="baseline"/>
        <w:rPr>
          <w:sz w:val="28"/>
          <w:sz w:val="28"/>
          <w:szCs w:val="28"/>
          <w:rFonts w:ascii="Times New Roman" w:hAnsi="Times New Roman" w:cs="Times New Roman"/>
        </w:rPr>
      </w:pPr>
      <w:r>
        <w:rPr>
          <w:b/>
          <w:bCs/>
          <w:color w:val="000000"/>
        </w:rPr>
      </w:r>
      <w:r/>
    </w:p>
    <w:p>
      <w:pPr>
        <w:pStyle w:val="Normal"/>
        <w:widowControl/>
        <w:tabs>
          <w:tab w:val="left" w:pos="708" w:leader="none"/>
        </w:tabs>
        <w:suppressAutoHyphens w:val="true"/>
        <w:bidi w:val="0"/>
        <w:spacing w:lineRule="auto" w:line="240" w:before="0" w:after="0"/>
        <w:ind w:left="0" w:right="0" w:firstLine="680"/>
        <w:jc w:val="center"/>
        <w:textAlignment w:val="baseline"/>
      </w:pPr>
      <w:r>
        <w:rPr>
          <w:rFonts w:cs="Times New Roman" w:ascii="Times New Roman" w:hAnsi="Times New Roman"/>
          <w:b w:val="false"/>
          <w:bCs w:val="false"/>
          <w:color w:val="000000"/>
          <w:sz w:val="28"/>
          <w:szCs w:val="28"/>
        </w:rPr>
        <w:t>«Об итогах деятельности Управления Федеральной службы судебных приставов в 2018 году и задачах на 2019 год»</w:t>
      </w:r>
      <w:r/>
    </w:p>
    <w:p>
      <w:pPr>
        <w:pStyle w:val="Normal"/>
        <w:widowControl/>
        <w:tabs>
          <w:tab w:val="left" w:pos="708" w:leader="none"/>
        </w:tabs>
        <w:suppressAutoHyphens w:val="true"/>
        <w:bidi w:val="0"/>
        <w:spacing w:lineRule="auto" w:line="240" w:before="0" w:after="0"/>
        <w:ind w:left="0" w:right="0" w:firstLine="680"/>
        <w:jc w:val="center"/>
        <w:textAlignment w:val="baseline"/>
        <w:rPr>
          <w:sz w:val="28"/>
          <w:b w:val="false"/>
          <w:sz w:val="28"/>
          <w:b w:val="false"/>
          <w:szCs w:val="28"/>
          <w:bCs w:val="false"/>
          <w:rFonts w:ascii="Times New Roman" w:hAnsi="Times New Roman" w:cs="Times New Roman"/>
        </w:rPr>
      </w:pPr>
      <w:r>
        <w:rPr>
          <w:color w:val="000000"/>
        </w:rPr>
      </w:r>
      <w:r/>
    </w:p>
    <w:p>
      <w:pPr>
        <w:pStyle w:val="Normal"/>
        <w:spacing w:lineRule="auto" w:line="240" w:before="0" w:after="0"/>
        <w:ind w:firstLine="709"/>
        <w:jc w:val="both"/>
      </w:pPr>
      <w:r>
        <w:rPr>
          <w:rFonts w:cs="Times New Roman" w:ascii="Times New Roman" w:hAnsi="Times New Roman"/>
          <w:b w:val="false"/>
          <w:bCs w:val="false"/>
          <w:color w:val="000000"/>
          <w:sz w:val="28"/>
          <w:szCs w:val="28"/>
        </w:rPr>
        <w:t>В течение 2018 года деятельность Управления Федеральной службы судебных приставов по Севастополю сосредотачивалась на реализации задач поставленных перед ФССП России:</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 xml:space="preserve">- по обеспечению установленного порядка деятельности судов; </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 осуществлению принудительного исполнения судебных актов, актов других органов и должностных лиц;</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 исполнению законодательства об уголовном судопроизводстве по делам, отнесенным к компетенции ФССП России.</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 xml:space="preserve">Из представленного вашему вниманию фото ряда можно сделать вывод о том, что, в целом, 2018 год сложился достаточно результативно в сравнении с 2017 годом. Во многом, этому способствовали ряд </w:t>
      </w:r>
      <w:r>
        <w:rPr>
          <w:rFonts w:cs="Times New Roman" w:ascii="Times New Roman" w:hAnsi="Times New Roman"/>
          <w:b w:val="false"/>
          <w:bCs w:val="false"/>
          <w:color w:val="000000" w:themeColor="text1"/>
          <w:sz w:val="28"/>
          <w:szCs w:val="28"/>
        </w:rPr>
        <w:t>обстоятельств,</w:t>
      </w:r>
      <w:r>
        <w:rPr>
          <w:rFonts w:cs="Times New Roman" w:ascii="Times New Roman" w:hAnsi="Times New Roman"/>
          <w:b w:val="false"/>
          <w:bCs w:val="false"/>
          <w:color w:val="000000"/>
          <w:sz w:val="28"/>
          <w:szCs w:val="28"/>
        </w:rPr>
        <w:t xml:space="preserve"> на которых остановлюсь подробнее.</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 xml:space="preserve">Во - первых, в прошлом году, по нашей инициативе, было оптимизировано штатное расписание севастопольской службы судебных приставов – образован новый Межрайонный отдел судебных приставов по взысканию административных штрафов, который начал работу с августа 2018 – го. </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 xml:space="preserve">В компетенцию данного отдела входит осуществление принудительного  исполнения административных штрафов с суммой взыскания до 3 тыс. руб. и штрафов по ст.ст. 12.8. и 12.26 КоАП РФ, так называемых «алкогольных» штрафов в сфере безопасности дорожного движения.   </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Как результат - снижение нагрузки на судебных приставов – исполнителей отделов судебных приставов для более оперативного и качественного исполнения судебных актов и достижение в этой связи максимального результата.</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 xml:space="preserve">Во – вторых, увеличение 2018 году денежного довольствия ведущей и старшей  категории должностей федеральных государственных гражданских служащих Управления, как за счет разовых стимулирующих выплат федерального уровня, так за счет фонда экономии заработной платы. </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 xml:space="preserve">Это, на мой взгляд, важное обстоятельство позволило </w:t>
      </w:r>
      <w:r>
        <w:rPr>
          <w:rFonts w:cs="Times New Roman" w:ascii="Times New Roman" w:hAnsi="Times New Roman"/>
          <w:b w:val="false"/>
          <w:bCs w:val="false"/>
          <w:color w:val="000000" w:themeColor="text1"/>
          <w:sz w:val="28"/>
          <w:szCs w:val="28"/>
        </w:rPr>
        <w:t xml:space="preserve">снизить рост текучести кадров с 43% до 24%. </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В цифрах это выглядит следующим образом.</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Среднемесячная заработная плата старшего судебного пристава увеличилась  на 10% (с 50 до 55 тыс. руб.), его заместителя на 3% (с 37 до 38 тыс. руб).</w:t>
      </w:r>
      <w:r/>
    </w:p>
    <w:p>
      <w:pPr>
        <w:sectPr>
          <w:headerReference w:type="default" r:id="rId2"/>
          <w:type w:val="nextPage"/>
          <w:pgSz w:w="11906" w:h="16838"/>
          <w:pgMar w:left="1701" w:right="850" w:header="708" w:top="993" w:footer="0" w:bottom="993" w:gutter="0"/>
          <w:pgNumType w:fmt="decimal"/>
          <w:formProt w:val="false"/>
          <w:titlePg/>
          <w:textDirection w:val="lrTb"/>
          <w:docGrid w:type="default" w:linePitch="360" w:charSpace="4294965247"/>
        </w:sect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Среднее денежное довольствие судебного пристава по обеспечению установленного порядка деятельности судов возросло на 35% (с 23 до 31 тыс. руб.), судебного пристава – исполнителя  на 29% (с 24 до 31 тыс. руб.).</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 xml:space="preserve">Севастопольское управление полностью перешло на начисление заработной платы в системе Единого расчетного центра, данному вопросу со стороны ФССП Росси уделялось особое внимание, благодаря оперативной работе кадрового и финансового  подразделений все обязательства по выплате заработной платы перед нашими работниками были выполнены в полном объеме без  задержек и сбоев. </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В – третьих,</w:t>
        <w:tab/>
        <w:t>со стороны Управления предпринят ряд мер по улучшению условий труда и материально - технического обеспечения:</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 xml:space="preserve">1. Проведена работа и решен вопрос о передаче в </w:t>
      </w:r>
      <w:r>
        <w:rPr>
          <w:rFonts w:cs="Times New Roman" w:ascii="Times New Roman" w:hAnsi="Times New Roman"/>
          <w:b w:val="false"/>
          <w:bCs w:val="false"/>
          <w:color w:val="000000" w:themeColor="text1"/>
          <w:sz w:val="28"/>
          <w:szCs w:val="28"/>
        </w:rPr>
        <w:t xml:space="preserve">федеральную собственность помещений административного здания Управления, </w:t>
      </w:r>
      <w:r>
        <w:rPr>
          <w:rFonts w:cs="Times New Roman" w:ascii="Times New Roman" w:hAnsi="Times New Roman"/>
          <w:b w:val="false"/>
          <w:bCs w:val="false"/>
          <w:color w:val="000000"/>
          <w:sz w:val="28"/>
          <w:szCs w:val="28"/>
        </w:rPr>
        <w:t xml:space="preserve">что позволило получить финансирование  на проектирование и установку системы отопления и подключить здание к централизованной сети  теплоснабжения. До этого здание не отапливалось более 10 лет. </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2.</w:t>
        <w:tab/>
        <w:t>На 10 новых рабочих станций пополнился компьютерный парк Управления.</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3.</w:t>
        <w:tab/>
        <w:t>Приобретено 3 прошивочных устройства для брошюрования дел на бумажных носителях, что позволяет оперативно и оптимально формировать архивный фонд.</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4.</w:t>
        <w:tab/>
        <w:t>Выделено финансирование и приобретены почтовые марки, которые используются исключительно для  уведомления сторон исполнительного  производства.</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5.</w:t>
        <w:tab/>
        <w:t>Отрадно, что результаты работы севастопольских приставов стали заметны. В прошлом году Управлению Правительством Севастополя  и ГУПС «Севтеплоэнерго» приобретено</w:t>
      </w:r>
      <w:r>
        <w:rPr>
          <w:rFonts w:ascii="Times New Roman" w:hAnsi="Times New Roman"/>
          <w:b w:val="false"/>
          <w:bCs w:val="false"/>
          <w:color w:val="000000"/>
          <w:sz w:val="28"/>
          <w:szCs w:val="28"/>
        </w:rPr>
        <w:t xml:space="preserve"> </w:t>
      </w:r>
      <w:r>
        <w:rPr>
          <w:rFonts w:cs="Times New Roman" w:ascii="Times New Roman" w:hAnsi="Times New Roman"/>
          <w:b w:val="false"/>
          <w:bCs w:val="false"/>
          <w:color w:val="000000"/>
          <w:sz w:val="28"/>
          <w:szCs w:val="28"/>
        </w:rPr>
        <w:t xml:space="preserve"> два программных комплекса «Дорожный пристав». И с мая 2018 года без  программы «Дорожный пристав»» не обходится ни один рейд по проверке граждан, из числа автомобилистов, на дорогах Севастополя.</w:t>
      </w:r>
      <w:r/>
    </w:p>
    <w:p>
      <w:pPr>
        <w:pStyle w:val="Normal"/>
        <w:spacing w:lineRule="auto" w:line="240" w:before="0" w:after="0"/>
        <w:ind w:firstLine="709"/>
        <w:jc w:val="both"/>
      </w:pPr>
      <w:r>
        <w:rPr>
          <w:rFonts w:ascii="Times New Roman" w:hAnsi="Times New Roman"/>
          <w:b w:val="false"/>
          <w:bCs w:val="false"/>
          <w:color w:val="000000" w:themeColor="text1"/>
          <w:sz w:val="28"/>
          <w:szCs w:val="28"/>
        </w:rPr>
        <w:t xml:space="preserve">Огромную роль в оптимизации труда судебных приставов играет направление электронного исполнения, заключающегося  в использовании возможностей безбумажного межведомственного взаимодействия. </w:t>
      </w:r>
      <w:r/>
    </w:p>
    <w:p>
      <w:pPr>
        <w:pStyle w:val="Style19"/>
        <w:spacing w:lineRule="auto" w:line="240" w:before="0" w:after="0"/>
        <w:ind w:firstLine="709"/>
        <w:jc w:val="both"/>
      </w:pPr>
      <w:r>
        <w:rPr>
          <w:b w:val="false"/>
          <w:bCs w:val="false"/>
          <w:color w:val="000000" w:themeColor="text1"/>
          <w:sz w:val="28"/>
          <w:szCs w:val="28"/>
        </w:rPr>
        <w:t>За 2018 год</w:t>
      </w:r>
      <w:r>
        <w:rPr>
          <w:rFonts w:cs="Times New Roman"/>
          <w:b w:val="false"/>
          <w:bCs w:val="false"/>
          <w:color w:val="000000"/>
          <w:sz w:val="28"/>
          <w:szCs w:val="28"/>
        </w:rPr>
        <w:t xml:space="preserve"> в рамках межведомственного взаимодействия  получено 51,7 тыс. исполнительных документов в электронном виде, что в 3 раза больше уровня 2017 года, поступающих, в основном, от налоговых органов и органов ГИБДД.</w:t>
      </w:r>
      <w:r/>
    </w:p>
    <w:p>
      <w:pPr>
        <w:pStyle w:val="Style19"/>
        <w:spacing w:lineRule="auto" w:line="240" w:before="0" w:after="0"/>
        <w:ind w:firstLine="709"/>
        <w:jc w:val="both"/>
      </w:pPr>
      <w:r>
        <w:rPr>
          <w:rFonts w:cs="Times New Roman"/>
          <w:b w:val="false"/>
          <w:bCs w:val="false"/>
          <w:color w:val="000000"/>
          <w:sz w:val="28"/>
          <w:szCs w:val="28"/>
        </w:rPr>
        <w:t xml:space="preserve">В прошлом году ФССП России распространило для применения в территориальных органах положительный опыт организации взаимодействия с мировыми судьями, в части предъявления исполнительных документов в электронном виде. </w:t>
      </w:r>
      <w:r>
        <w:rPr>
          <w:rFonts w:cs="Times New Roman"/>
          <w:b w:val="false"/>
          <w:bCs w:val="false"/>
          <w:color w:val="000000"/>
          <w:sz w:val="28"/>
          <w:szCs w:val="28"/>
        </w:rPr>
        <w:t xml:space="preserve">По итогам </w:t>
      </w:r>
      <w:r>
        <w:rPr>
          <w:rFonts w:cs="Times New Roman"/>
          <w:b w:val="false"/>
          <w:bCs w:val="false"/>
          <w:color w:val="000000"/>
          <w:sz w:val="28"/>
          <w:szCs w:val="28"/>
        </w:rPr>
        <w:t xml:space="preserve">ряда совместных межведомственных совещаний с Правительством Севастополя, в лице  </w:t>
      </w:r>
      <w:r>
        <w:rPr>
          <w:rFonts w:cs="Times New Roman"/>
          <w:b w:val="false"/>
          <w:bCs w:val="false"/>
          <w:color w:val="000000"/>
          <w:sz w:val="28"/>
          <w:szCs w:val="28"/>
        </w:rPr>
        <w:t xml:space="preserve">Главного управления информатизации и связи и Управления обеспечения деятельности мировых судами по организации электронного  </w:t>
      </w:r>
      <w:r>
        <w:rPr>
          <w:rFonts w:cs="Times New Roman"/>
          <w:b w:val="false"/>
          <w:bCs w:val="false"/>
          <w:color w:val="000000"/>
          <w:sz w:val="28"/>
          <w:szCs w:val="28"/>
        </w:rPr>
        <w:t>взаимодействия с мировыми судами. К концу текущего года планируем завершить переход на электронный обмен исполнительными документами.</w:t>
      </w:r>
      <w:r/>
    </w:p>
    <w:p>
      <w:pPr>
        <w:pStyle w:val="Style19"/>
        <w:spacing w:lineRule="auto" w:line="240" w:before="0" w:after="0"/>
        <w:ind w:firstLine="709"/>
        <w:jc w:val="both"/>
      </w:pPr>
      <w:r>
        <w:rPr>
          <w:b w:val="false"/>
          <w:bCs w:val="false"/>
          <w:color w:val="000000" w:themeColor="text1"/>
          <w:sz w:val="28"/>
          <w:szCs w:val="28"/>
        </w:rPr>
        <w:t xml:space="preserve">95% </w:t>
      </w:r>
      <w:r>
        <w:rPr>
          <w:rFonts w:cs="Times New Roman"/>
          <w:b w:val="false"/>
          <w:bCs w:val="false"/>
          <w:color w:val="000000" w:themeColor="text1"/>
          <w:sz w:val="28"/>
          <w:szCs w:val="28"/>
        </w:rPr>
        <w:t xml:space="preserve">документов, направленны </w:t>
      </w:r>
      <w:r>
        <w:rPr>
          <w:b w:val="false"/>
          <w:bCs w:val="false"/>
          <w:color w:val="000000" w:themeColor="text1"/>
          <w:sz w:val="28"/>
          <w:szCs w:val="28"/>
        </w:rPr>
        <w:t xml:space="preserve">в 2018 году </w:t>
      </w:r>
      <w:r>
        <w:rPr>
          <w:rFonts w:cs="Times New Roman"/>
          <w:b w:val="false"/>
          <w:bCs w:val="false"/>
          <w:color w:val="000000" w:themeColor="text1"/>
          <w:sz w:val="28"/>
          <w:szCs w:val="28"/>
        </w:rPr>
        <w:t>для исполнения в кредитные организации и регистрирующие органы также вынесены в форме  электронного документа.</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В формате запрос - ответ осуществляется электронный обмен с 13 кредитными учреждениями, в формате электронного списания с 5-ю (</w:t>
      </w:r>
      <w:r>
        <w:rPr>
          <w:rFonts w:ascii="Times New Roman" w:hAnsi="Times New Roman"/>
          <w:b w:val="false"/>
          <w:bCs w:val="false"/>
          <w:color w:val="000000"/>
          <w:sz w:val="28"/>
          <w:szCs w:val="28"/>
        </w:rPr>
        <w:t>ВТБ, Альфа-Банк, Сбер-банк, ТРАСТ и РНКБ).</w:t>
      </w:r>
      <w:r/>
    </w:p>
    <w:p>
      <w:pPr>
        <w:pStyle w:val="Style19"/>
        <w:spacing w:lineRule="auto" w:line="240" w:before="0" w:after="0"/>
        <w:ind w:firstLine="709"/>
        <w:jc w:val="both"/>
      </w:pPr>
      <w:r>
        <w:rPr>
          <w:b w:val="false"/>
          <w:bCs w:val="false"/>
          <w:color w:val="000000" w:themeColor="text1"/>
          <w:sz w:val="28"/>
          <w:szCs w:val="28"/>
        </w:rPr>
        <w:t>Число запросов направленных судебными приставами в рамках электронного межведомственного взаимодействия составило порядка 1 млн., по которым получено ответов с типом «Есть сведения» 55 тыс., практически по каждому второму исполнительному производству.</w:t>
      </w:r>
      <w:r/>
    </w:p>
    <w:p>
      <w:pPr>
        <w:pStyle w:val="Style19"/>
        <w:spacing w:lineRule="auto" w:line="240" w:before="0" w:after="0"/>
        <w:ind w:firstLine="709"/>
        <w:jc w:val="both"/>
      </w:pPr>
      <w:r>
        <w:rPr>
          <w:b w:val="false"/>
          <w:bCs w:val="false"/>
          <w:color w:val="000000"/>
          <w:sz w:val="28"/>
          <w:szCs w:val="28"/>
        </w:rPr>
        <w:t>Вместе с тем, основную роль в организации работы по исполнительному производству играет применение классических мер принудительного исполнения.  В сравнении  с 2017 годом за прошлый год судебные приставы – исполнители на 73%</w:t>
      </w:r>
      <w:r>
        <w:rPr>
          <w:b w:val="false"/>
          <w:bCs w:val="false"/>
          <w:color w:val="000000"/>
          <w:sz w:val="28"/>
          <w:szCs w:val="28"/>
        </w:rPr>
        <w:t xml:space="preserve"> </w:t>
      </w:r>
      <w:r>
        <w:rPr>
          <w:b w:val="false"/>
          <w:bCs w:val="false"/>
          <w:color w:val="000000"/>
          <w:sz w:val="28"/>
          <w:szCs w:val="28"/>
        </w:rPr>
        <w:t>эффективнее реализовали полномочия административной юрисдикции и на 41% уголовно – процессуального понуждения, на 44% возросло количество произведенных арестов имущества должников</w:t>
      </w:r>
      <w:r>
        <w:rPr>
          <w:b w:val="false"/>
          <w:bCs w:val="false"/>
          <w:color w:val="000000" w:themeColor="text1"/>
          <w:sz w:val="28"/>
          <w:szCs w:val="28"/>
        </w:rPr>
        <w:t xml:space="preserve">,  на 40% больше должников временно ограничены в праве выезда за пределы Российской Федерации, на 15% больше состоялось проверок по месту жительства (нахождения) должников,  в 3 раза возросло количество арестов расчетных счетов и установленных запретов по совершению регистрационных действий с имуществом. </w:t>
      </w:r>
      <w:r/>
    </w:p>
    <w:p>
      <w:pPr>
        <w:pStyle w:val="Style19"/>
        <w:spacing w:lineRule="auto" w:line="240" w:before="0" w:after="0"/>
        <w:ind w:firstLine="709"/>
        <w:jc w:val="both"/>
      </w:pPr>
      <w:r>
        <w:rPr>
          <w:b w:val="false"/>
          <w:bCs w:val="false"/>
          <w:color w:val="000000" w:themeColor="text1"/>
          <w:sz w:val="28"/>
          <w:szCs w:val="28"/>
        </w:rPr>
        <w:t>В 2018 году в севастопольской службе судебных приставов зафиксирован высокий  уровень поступления исполнительных документов в 2,2 раза с 32 до 69 тыс. как за счет увеличения поступления судебных актов на 46% и постановлений иных органов на 56%.</w:t>
      </w:r>
      <w:r/>
    </w:p>
    <w:p>
      <w:pPr>
        <w:pStyle w:val="Normal"/>
        <w:spacing w:lineRule="auto" w:line="240" w:before="0" w:after="0"/>
        <w:ind w:firstLine="709"/>
        <w:jc w:val="both"/>
      </w:pPr>
      <w:r>
        <w:rPr>
          <w:rFonts w:ascii="Times New Roman" w:hAnsi="Times New Roman"/>
          <w:b w:val="false"/>
          <w:bCs w:val="false"/>
          <w:color w:val="000000" w:themeColor="text1"/>
          <w:sz w:val="28"/>
          <w:szCs w:val="28"/>
        </w:rPr>
        <w:t xml:space="preserve">Общее количество исполнительных производств находящихся на исполнении составило 94 тыс., из них: 46% возбуждены на основании исполнительных документов,  выданных судами, и 54% иными органами. По категориям должников - 84% о взыскании  физических лиц и 16% с юридических лиц. Основной объем исполнительных производств имущественного характера и только 2% неимущественного характера.  </w:t>
      </w:r>
      <w:r/>
    </w:p>
    <w:p>
      <w:pPr>
        <w:pStyle w:val="Style19"/>
        <w:spacing w:lineRule="auto" w:line="240" w:before="0" w:after="0"/>
        <w:ind w:firstLine="709"/>
        <w:jc w:val="both"/>
      </w:pPr>
      <w:r>
        <w:rPr>
          <w:b w:val="false"/>
          <w:bCs w:val="false"/>
          <w:color w:val="000000" w:themeColor="text1"/>
          <w:sz w:val="28"/>
          <w:szCs w:val="28"/>
        </w:rPr>
        <w:t>Безусловно, это сказалось на служебной нагрузке судебных приставов – исполнителей, рост которой достиг уровня 1634 исполнительных производства или в 1,8 раза.</w:t>
      </w:r>
      <w:r/>
    </w:p>
    <w:p>
      <w:pPr>
        <w:pStyle w:val="Style19"/>
        <w:spacing w:lineRule="auto" w:line="240" w:before="0" w:after="0"/>
        <w:ind w:firstLine="709"/>
        <w:jc w:val="both"/>
      </w:pPr>
      <w:r>
        <w:rPr>
          <w:b w:val="false"/>
          <w:bCs w:val="false"/>
          <w:color w:val="000000" w:themeColor="text1"/>
          <w:sz w:val="28"/>
          <w:szCs w:val="28"/>
        </w:rPr>
        <w:t xml:space="preserve">В сравнении с 2017 годом интенсивность работы судебных приставов стала выше вдвое. Вместе с тем остаток исполнительных производств увеличился соразмерно поступлению исполнительных документов. </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По итогам работы в 2018 году судебные приставы - исполнители увеличили результативность работы по различным категориям исполнительных производств - по взысканию ущерба, причиненного преступлением, задолженности за потребленные коммунальные услуги, кредитным  и обязательным платежам.  В результате на 147 млн. руб.</w:t>
      </w:r>
      <w:r>
        <w:rPr>
          <w:rFonts w:cs="Times New Roman" w:ascii="Times New Roman" w:hAnsi="Times New Roman"/>
          <w:b w:val="false"/>
          <w:bCs w:val="false"/>
          <w:color w:val="000000"/>
          <w:sz w:val="28"/>
          <w:szCs w:val="28"/>
        </w:rPr>
        <w:t xml:space="preserve"> </w:t>
      </w:r>
      <w:r>
        <w:rPr>
          <w:rFonts w:cs="Times New Roman" w:ascii="Times New Roman" w:hAnsi="Times New Roman"/>
          <w:b w:val="false"/>
          <w:bCs w:val="false"/>
          <w:color w:val="000000" w:themeColor="text1"/>
          <w:sz w:val="28"/>
          <w:szCs w:val="28"/>
        </w:rPr>
        <w:t>увеличилась взысканная за прошлый год сумма и составила 680 млн. руб., из которой:</w:t>
      </w:r>
      <w:r/>
    </w:p>
    <w:p>
      <w:pPr>
        <w:pStyle w:val="NormalWeb"/>
        <w:spacing w:lineRule="auto" w:line="240" w:beforeAutospacing="0" w:before="0" w:after="0"/>
        <w:ind w:firstLine="709"/>
        <w:jc w:val="both"/>
      </w:pPr>
      <w:r>
        <w:rPr>
          <w:b w:val="false"/>
          <w:bCs w:val="false"/>
          <w:color w:val="000000" w:themeColor="text1"/>
          <w:sz w:val="28"/>
          <w:szCs w:val="28"/>
        </w:rPr>
        <w:t>-</w:t>
        <w:tab/>
        <w:t xml:space="preserve">9,5 млн. руб. взыскано в результате применения мер по временному ограничению прав должников по выезду за пределы Российской Федерации и специального права (в основном на управление транспортным средством)  </w:t>
      </w:r>
      <w:r/>
    </w:p>
    <w:p>
      <w:pPr>
        <w:pStyle w:val="NoSpacing"/>
        <w:spacing w:lineRule="auto" w:line="240"/>
        <w:ind w:firstLine="709"/>
        <w:jc w:val="both"/>
      </w:pPr>
      <w:r>
        <w:rPr>
          <w:rFonts w:ascii="Times New Roman" w:hAnsi="Times New Roman"/>
          <w:b w:val="false"/>
          <w:bCs w:val="false"/>
          <w:color w:val="000000" w:themeColor="text1"/>
          <w:sz w:val="28"/>
          <w:szCs w:val="28"/>
          <w:lang w:eastAsia="uk-UA"/>
        </w:rPr>
        <w:t>-</w:t>
        <w:tab/>
        <w:t xml:space="preserve">212 млн. руб. взыскано в результате работы с имуществом должников, что  в 7 раз больше уровня 2017 года.   </w:t>
      </w:r>
      <w:r/>
    </w:p>
    <w:p>
      <w:pPr>
        <w:pStyle w:val="20202014"/>
        <w:spacing w:lineRule="auto" w:line="240" w:beforeAutospacing="0" w:before="0" w:afterAutospacing="0" w:after="0"/>
        <w:ind w:firstLine="709"/>
        <w:jc w:val="both"/>
      </w:pPr>
      <w:r>
        <w:rPr>
          <w:b w:val="false"/>
          <w:bCs w:val="false"/>
          <w:color w:val="000000" w:themeColor="text1"/>
          <w:sz w:val="28"/>
          <w:szCs w:val="28"/>
        </w:rPr>
        <w:t xml:space="preserve">В </w:t>
      </w:r>
      <w:r>
        <w:rPr>
          <w:b w:val="false"/>
          <w:bCs w:val="false"/>
          <w:color w:val="000000" w:themeColor="text1"/>
          <w:sz w:val="28"/>
          <w:szCs w:val="28"/>
          <w:u w:val="single"/>
        </w:rPr>
        <w:t>консолидированный бюджет</w:t>
      </w:r>
      <w:r>
        <w:rPr>
          <w:b w:val="false"/>
          <w:bCs w:val="false"/>
          <w:color w:val="000000" w:themeColor="text1"/>
          <w:sz w:val="28"/>
          <w:szCs w:val="28"/>
        </w:rPr>
        <w:t xml:space="preserve"> в результате работы судебных приставов – исполнителей перечислено </w:t>
      </w:r>
      <w:r>
        <w:rPr>
          <w:b w:val="false"/>
          <w:bCs w:val="false"/>
          <w:color w:val="000000" w:themeColor="text1"/>
          <w:sz w:val="28"/>
          <w:szCs w:val="28"/>
          <w:lang w:val="ru-RU"/>
        </w:rPr>
        <w:softHyphen/>
        <w:softHyphen/>
        <w:t>191,4</w:t>
      </w:r>
      <w:r>
        <w:rPr>
          <w:b w:val="false"/>
          <w:bCs w:val="false"/>
          <w:color w:val="000000" w:themeColor="text1"/>
          <w:sz w:val="28"/>
          <w:szCs w:val="28"/>
        </w:rPr>
        <w:t xml:space="preserve"> млн. руб. фискальных платежей, базовый показатель</w:t>
      </w:r>
      <w:r>
        <w:rPr>
          <w:b w:val="false"/>
          <w:bCs w:val="false"/>
          <w:color w:val="000000" w:themeColor="text1"/>
          <w:sz w:val="28"/>
          <w:szCs w:val="28"/>
          <w:lang w:val="ru-RU"/>
        </w:rPr>
        <w:t xml:space="preserve"> исполнен </w:t>
      </w:r>
      <w:r>
        <w:rPr>
          <w:b w:val="false"/>
          <w:bCs w:val="false"/>
          <w:color w:val="000000" w:themeColor="text1"/>
          <w:sz w:val="28"/>
          <w:szCs w:val="28"/>
        </w:rPr>
        <w:t xml:space="preserve"> </w:t>
      </w:r>
      <w:r>
        <w:rPr>
          <w:rStyle w:val="202020141"/>
          <w:b w:val="false"/>
          <w:bCs w:val="false"/>
          <w:color w:val="000000" w:themeColor="text1"/>
          <w:sz w:val="28"/>
          <w:szCs w:val="28"/>
          <w:lang w:val="ru-RU"/>
        </w:rPr>
        <w:t>на 170%.</w:t>
      </w:r>
      <w:r/>
    </w:p>
    <w:p>
      <w:pPr>
        <w:pStyle w:val="20202014"/>
        <w:spacing w:lineRule="auto" w:line="240" w:beforeAutospacing="0" w:before="0" w:afterAutospacing="0" w:after="0"/>
        <w:ind w:firstLine="709"/>
        <w:jc w:val="both"/>
      </w:pPr>
      <w:r>
        <w:rPr>
          <w:rStyle w:val="202020141"/>
          <w:b w:val="false"/>
          <w:bCs w:val="false"/>
          <w:color w:val="000000" w:themeColor="text1"/>
          <w:sz w:val="28"/>
          <w:szCs w:val="28"/>
          <w:lang w:val="ru-RU"/>
        </w:rPr>
        <w:t xml:space="preserve">Львиную долю, или 149 млн. руб. от взысканной в бюджетную систему Российской Федерации суммы, составляли </w:t>
      </w:r>
      <w:r>
        <w:rPr>
          <w:b w:val="false"/>
          <w:bCs w:val="false"/>
          <w:color w:val="000000" w:themeColor="text1"/>
          <w:sz w:val="28"/>
          <w:szCs w:val="28"/>
          <w:lang w:val="ru-RU"/>
        </w:rPr>
        <w:t xml:space="preserve">налоговые платежи. В сравнении с 2017 годом результативность взыскания налоговых платежей возросла почти в два раза. </w:t>
      </w:r>
      <w:r/>
    </w:p>
    <w:p>
      <w:pPr>
        <w:pStyle w:val="20202014"/>
        <w:spacing w:lineRule="auto" w:line="240" w:beforeAutospacing="0" w:before="0" w:afterAutospacing="0" w:after="0"/>
        <w:ind w:firstLine="709"/>
        <w:jc w:val="both"/>
      </w:pPr>
      <w:r>
        <w:rPr>
          <w:rStyle w:val="202020141"/>
          <w:b w:val="false"/>
          <w:bCs w:val="false"/>
          <w:color w:val="000000" w:themeColor="text1"/>
          <w:sz w:val="28"/>
          <w:szCs w:val="28"/>
          <w:lang w:val="ru-RU"/>
        </w:rPr>
        <w:t xml:space="preserve">Достигнутые результаты работы  по взысканию фискальных платежей возникли, благодаря теснейшему взаимодействию с нашими коллегами из налоговых органов и органов ГИБДД Севастополя, с которыми мы систематически обсуждаем итоги нашей работы, ставим для себя новые задачи, выходим в совместные рейды по работе с должниками. </w:t>
      </w:r>
      <w:r/>
    </w:p>
    <w:p>
      <w:pPr>
        <w:pStyle w:val="20202014"/>
        <w:spacing w:lineRule="auto" w:line="240" w:beforeAutospacing="0" w:before="0" w:afterAutospacing="0" w:after="0"/>
        <w:ind w:firstLine="709"/>
        <w:jc w:val="both"/>
      </w:pPr>
      <w:r>
        <w:rPr>
          <w:rStyle w:val="202020141"/>
          <w:b w:val="false"/>
          <w:bCs w:val="false"/>
          <w:color w:val="000000" w:themeColor="text1"/>
          <w:sz w:val="28"/>
          <w:szCs w:val="28"/>
          <w:lang w:val="ru-RU"/>
        </w:rPr>
        <w:t xml:space="preserve">Несмотря на то, что результаты работы по взысканию фискальных платежей превосходят аналогичные показатели 2017 года, есть достаточно неиспользованных резервов. В соответствии с </w:t>
      </w:r>
      <w:r>
        <w:rPr>
          <w:b w:val="false"/>
          <w:bCs w:val="false"/>
          <w:color w:val="000000" w:themeColor="text1"/>
          <w:sz w:val="28"/>
          <w:szCs w:val="28"/>
          <w:lang w:eastAsia="ru-RU"/>
        </w:rPr>
        <w:t>План</w:t>
      </w:r>
      <w:r>
        <w:rPr>
          <w:b w:val="false"/>
          <w:bCs w:val="false"/>
          <w:color w:val="000000" w:themeColor="text1"/>
          <w:sz w:val="28"/>
          <w:szCs w:val="28"/>
          <w:lang w:val="ru-RU" w:eastAsia="ru-RU"/>
        </w:rPr>
        <w:t>ом</w:t>
      </w:r>
      <w:r>
        <w:rPr>
          <w:b w:val="false"/>
          <w:bCs w:val="false"/>
          <w:color w:val="000000" w:themeColor="text1"/>
          <w:sz w:val="28"/>
          <w:szCs w:val="28"/>
          <w:lang w:eastAsia="ru-RU"/>
        </w:rPr>
        <w:t xml:space="preserve"> совместных мероприятий </w:t>
      </w:r>
      <w:r>
        <w:rPr>
          <w:b w:val="false"/>
          <w:bCs w:val="false"/>
          <w:color w:val="000000" w:themeColor="text1"/>
          <w:sz w:val="28"/>
          <w:szCs w:val="28"/>
          <w:lang w:val="ru-RU" w:eastAsia="ru-RU"/>
        </w:rPr>
        <w:t>ФНС России</w:t>
      </w:r>
      <w:r>
        <w:rPr>
          <w:b w:val="false"/>
          <w:bCs w:val="false"/>
          <w:color w:val="000000" w:themeColor="text1"/>
          <w:sz w:val="28"/>
          <w:szCs w:val="28"/>
          <w:lang w:eastAsia="ru-RU"/>
        </w:rPr>
        <w:t xml:space="preserve"> и </w:t>
      </w:r>
      <w:r>
        <w:rPr>
          <w:b w:val="false"/>
          <w:bCs w:val="false"/>
          <w:color w:val="000000" w:themeColor="text1"/>
          <w:sz w:val="28"/>
          <w:szCs w:val="28"/>
          <w:lang w:val="ru-RU" w:eastAsia="ru-RU"/>
        </w:rPr>
        <w:t>ФССП России</w:t>
      </w:r>
      <w:r>
        <w:rPr>
          <w:b w:val="false"/>
          <w:bCs w:val="false"/>
          <w:color w:val="000000" w:themeColor="text1"/>
          <w:sz w:val="28"/>
          <w:szCs w:val="28"/>
          <w:lang w:eastAsia="ru-RU"/>
        </w:rPr>
        <w:t xml:space="preserve"> по повышению эффективности взыскания задолженности по обязательным платежам на 2018 год</w:t>
      </w:r>
      <w:r>
        <w:rPr>
          <w:b w:val="false"/>
          <w:bCs w:val="false"/>
          <w:color w:val="000000" w:themeColor="text1"/>
          <w:sz w:val="28"/>
          <w:szCs w:val="28"/>
          <w:lang w:val="ru-RU" w:eastAsia="ru-RU"/>
        </w:rPr>
        <w:t xml:space="preserve"> показатель </w:t>
      </w:r>
      <w:r>
        <w:rPr>
          <w:b w:val="false"/>
          <w:bCs w:val="false"/>
          <w:color w:val="000000" w:themeColor="text1"/>
          <w:sz w:val="28"/>
          <w:szCs w:val="28"/>
          <w:lang w:eastAsia="ru-RU"/>
        </w:rPr>
        <w:t xml:space="preserve">эффективности исполнительных действий в ходе применения ст. 47 Налогового кодекса РФ </w:t>
      </w:r>
      <w:r>
        <w:rPr>
          <w:b w:val="false"/>
          <w:bCs w:val="false"/>
          <w:color w:val="000000" w:themeColor="text1"/>
          <w:sz w:val="28"/>
          <w:szCs w:val="28"/>
          <w:lang w:val="ru-RU" w:eastAsia="ru-RU"/>
        </w:rPr>
        <w:t xml:space="preserve">достигнут на уровне </w:t>
      </w:r>
      <w:r>
        <w:rPr>
          <w:b w:val="false"/>
          <w:bCs w:val="false"/>
          <w:color w:val="000000" w:themeColor="text1"/>
          <w:sz w:val="28"/>
          <w:szCs w:val="28"/>
          <w:lang w:eastAsia="ru-RU"/>
        </w:rPr>
        <w:t>51% при установленням</w:t>
      </w:r>
      <w:r>
        <w:rPr>
          <w:b w:val="false"/>
          <w:bCs w:val="false"/>
          <w:color w:val="000000" w:themeColor="text1"/>
          <w:sz w:val="28"/>
          <w:szCs w:val="28"/>
          <w:lang w:val="ru-RU" w:eastAsia="ru-RU"/>
        </w:rPr>
        <w:t xml:space="preserve"> не менее</w:t>
      </w:r>
      <w:r>
        <w:rPr>
          <w:b w:val="false"/>
          <w:bCs w:val="false"/>
          <w:color w:val="000000" w:themeColor="text1"/>
          <w:sz w:val="28"/>
          <w:szCs w:val="28"/>
          <w:lang w:eastAsia="ru-RU"/>
        </w:rPr>
        <w:t xml:space="preserve"> 50%.</w:t>
      </w:r>
      <w:r/>
    </w:p>
    <w:p>
      <w:pPr>
        <w:pStyle w:val="Normal"/>
        <w:spacing w:lineRule="auto" w:line="240" w:before="0" w:after="0"/>
        <w:ind w:firstLine="709"/>
        <w:jc w:val="both"/>
      </w:pPr>
      <w:r>
        <w:rPr>
          <w:rFonts w:eastAsia="Times New Roman" w:cs="Times New Roman" w:ascii="Times New Roman" w:hAnsi="Times New Roman"/>
          <w:b w:val="false"/>
          <w:bCs w:val="false"/>
          <w:color w:val="000000" w:themeColor="text1"/>
          <w:sz w:val="28"/>
          <w:szCs w:val="28"/>
          <w:lang w:eastAsia="ru-RU"/>
        </w:rPr>
        <w:t>Показатель эффективности по ст. 48 Налогового кодекса РФ составил 53% при установленном годовом показателе не менее 75%.</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 xml:space="preserve">В 2019 году безусловным приоритетом в работе судебных приставов – исполнителей будет являться пополнение бюджета Российской Федерации, при том, что остаток по сумме взыскания фискальных платежей является вполне достаточным и плановые задания, поставленные перед севастопольским Управлением, должны быть выполнены в полном объеме! </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 xml:space="preserve">Взыскано 19,7 млн. руб. исполнительского сбора, что почти в два раза больше значения 2017 года плановое задание по взысканию исполнительского сбора выполнено на 129%. </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 xml:space="preserve">Не менее приоритетным направлением работы является организация принудительного исполнения исполнительных производств социального характера, в большинстве своём, </w:t>
      </w:r>
      <w:r>
        <w:rPr>
          <w:rFonts w:cs="Times New Roman" w:ascii="Times New Roman" w:hAnsi="Times New Roman"/>
          <w:b w:val="false"/>
          <w:bCs w:val="false"/>
          <w:color w:val="000000" w:themeShade="80"/>
          <w:sz w:val="28"/>
          <w:szCs w:val="28"/>
        </w:rPr>
        <w:t xml:space="preserve">по взысканию алиментов. </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Неуклонно с 2014 года, сокращается число детей, не получающих от своих родителей алиментов, так остаток данной категории исполнительных производств сократился практически вдвое.</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 xml:space="preserve">В 2018 году, в рамках объявленного Президентом Российской Федерации Десятилетия детства, вопросу взыскания алиментов на содержание детей уделялось более пристальное внимание, систематически в масштабе всей Российской Федерации проводятся рейды по проверке должников по алиментам. </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По итогам проведенной работы увеличилось, не только число принятых мер принудительного исполнения  в отношении должников по алиментам, но и количество исполнительных производств оконченных фактически, взыскано в пользу детей 33 млн. руб.</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За прошлый год 209 должников привлечены к административной ответственности по ст. 5.35.1 КоАП РФ, в отношении 79 - возбуждены уголовные дела по ст. 157 УК РФ,  54 - находились в розыске, 2,5 тыс. - временно ограничены вправе выезда за пределы Российской Федерации  и 49 – в праве пользования специальным правом – водительским удостоверением, 1250 должников платят алименты с заработной платы.</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 xml:space="preserve">Вместе с тем, остаются 776 должников, которые не обеспечивают материальное содержание своим детям, изворачиваясь различными способами от исполнения алиментных обязательств. </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 xml:space="preserve">Управление совместно уполномоченным по правам ребенка в г. Севастополе, членами Общественного совета  привлекает к данной   проблеме внимание государственных органов, правозащитных и общественных организаций. Результат действительно есть, но он не достаточен и является одним из направлений национальной стратегии в области защиты прав детей. </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 xml:space="preserve">В 2018 году, впервые, появилась судебная практика  по признанию должника по алиментам безвестно отсутствующим в связи с тем, что в рамках исполнительного розыска, в течение года, его местонахождение установлено не было, и взыскатель обратился в суд. При этом указанный статус позволяет оформить о пенсию для ребенка.   </w:t>
      </w:r>
      <w:r/>
    </w:p>
    <w:p>
      <w:pPr>
        <w:pStyle w:val="Normal"/>
        <w:spacing w:lineRule="auto" w:line="240" w:before="0" w:after="0"/>
        <w:ind w:firstLine="709"/>
        <w:contextualSpacing/>
        <w:jc w:val="both"/>
      </w:pPr>
      <w:r>
        <w:rPr>
          <w:rFonts w:cs="Times New Roman" w:ascii="Times New Roman" w:hAnsi="Times New Roman"/>
          <w:b w:val="false"/>
          <w:bCs w:val="false"/>
          <w:color w:val="000000" w:themeColor="text1"/>
          <w:sz w:val="28"/>
          <w:szCs w:val="28"/>
        </w:rPr>
        <w:t xml:space="preserve">В рамках </w:t>
      </w:r>
      <w:r>
        <w:rPr>
          <w:rFonts w:cs="Times New Roman" w:ascii="Times New Roman" w:hAnsi="Times New Roman"/>
          <w:b w:val="false"/>
          <w:bCs w:val="false"/>
          <w:color w:val="000000"/>
          <w:sz w:val="28"/>
          <w:szCs w:val="28"/>
        </w:rPr>
        <w:t>исполнения уголовно - процессуального законодательства по преступлениям, отнесенным к компетенции ФССП России,</w:t>
      </w:r>
      <w:r>
        <w:rPr>
          <w:rFonts w:cs="Times New Roman" w:ascii="Times New Roman" w:hAnsi="Times New Roman"/>
          <w:b w:val="false"/>
          <w:bCs w:val="false"/>
          <w:color w:val="000000" w:themeColor="text1"/>
          <w:sz w:val="28"/>
          <w:szCs w:val="28"/>
        </w:rPr>
        <w:t xml:space="preserve"> рассмотрено 157 сообщений о преступлении, по которым возбуждено </w:t>
      </w:r>
      <w:r>
        <w:rPr>
          <w:rFonts w:cs="Times New Roman" w:ascii="Times New Roman" w:hAnsi="Times New Roman"/>
          <w:b w:val="false"/>
          <w:bCs w:val="false"/>
          <w:color w:val="000000"/>
          <w:sz w:val="28"/>
          <w:szCs w:val="28"/>
        </w:rPr>
        <w:t xml:space="preserve"> 79 уголовных дел, что на 23 дела больше, чем  за 2017 год </w:t>
      </w:r>
      <w:r/>
    </w:p>
    <w:p>
      <w:pPr>
        <w:pStyle w:val="Normal"/>
        <w:spacing w:lineRule="auto" w:line="240" w:before="0" w:after="0"/>
        <w:ind w:firstLine="709"/>
        <w:contextualSpacing/>
        <w:jc w:val="both"/>
      </w:pPr>
      <w:r>
        <w:rPr>
          <w:rFonts w:cs="Times New Roman" w:ascii="Times New Roman" w:hAnsi="Times New Roman"/>
          <w:b w:val="false"/>
          <w:bCs w:val="false"/>
          <w:color w:val="000000" w:themeColor="text1"/>
          <w:sz w:val="28"/>
          <w:szCs w:val="28"/>
        </w:rPr>
        <w:t>По составам преступлений, подследственных Федеральной службе судебных приставов, возбуждено по ст. 157 УК РФ - 74 уголовных дела; ст. 177 (уклонение от погашения кредиторской задолженности) – 2 уголовных дела; ст. 312 (незаконные действия в отношении имущества подвергнутому аресту) - 1;  ст. 315 (уклонение от исполнения судебного акта) – 2.</w:t>
      </w:r>
      <w:r/>
    </w:p>
    <w:p>
      <w:pPr>
        <w:pStyle w:val="Normal"/>
        <w:spacing w:lineRule="auto" w:line="240" w:before="0" w:after="0"/>
        <w:ind w:firstLine="709"/>
        <w:contextualSpacing/>
        <w:jc w:val="both"/>
      </w:pPr>
      <w:r>
        <w:rPr>
          <w:rFonts w:cs="Times New Roman" w:ascii="Times New Roman" w:hAnsi="Times New Roman"/>
          <w:b w:val="false"/>
          <w:bCs w:val="false"/>
          <w:color w:val="000000" w:themeColor="text1"/>
          <w:sz w:val="28"/>
          <w:szCs w:val="28"/>
        </w:rPr>
        <w:t>В прошлом году органами дознания Управления и надзирающими прокурорами на досудебной стадии по реабилитирующим основаниям уголовные дела не прекращались, по результатам рассмотрения уголовных дел судом оправдательные приговоры не выносились.</w:t>
      </w:r>
      <w:r/>
    </w:p>
    <w:p>
      <w:pPr>
        <w:pStyle w:val="Normal"/>
        <w:spacing w:lineRule="auto" w:line="240" w:before="0" w:after="0"/>
        <w:ind w:firstLine="709"/>
        <w:contextualSpacing/>
        <w:jc w:val="both"/>
      </w:pPr>
      <w:r>
        <w:rPr>
          <w:rFonts w:cs="Times New Roman" w:ascii="Times New Roman" w:hAnsi="Times New Roman"/>
          <w:b w:val="false"/>
          <w:bCs w:val="false"/>
          <w:color w:val="000000" w:themeColor="text1"/>
          <w:sz w:val="28"/>
          <w:szCs w:val="28"/>
        </w:rPr>
        <w:t xml:space="preserve">Вместе с тем, в сравнении с 2017 годом мы увеличили число уголовных дел расследованных с превышением 30 – дневного срока дознания (с 1 до 6),   </w:t>
      </w:r>
      <w:r>
        <w:rPr>
          <w:rFonts w:cs="Times New Roman" w:ascii="Times New Roman" w:hAnsi="Times New Roman"/>
          <w:b w:val="false"/>
          <w:bCs w:val="false"/>
          <w:iCs/>
          <w:color w:val="000000" w:themeColor="text1"/>
          <w:sz w:val="28"/>
          <w:szCs w:val="28"/>
        </w:rPr>
        <w:t>для производства дополнительного дознания  прокурорами возвращено 3 дела (2017 -1 для пересоставления обвинительного акта).</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 xml:space="preserve">В 2018 году выявлено 1041 </w:t>
      </w:r>
      <w:r>
        <w:rPr>
          <w:rFonts w:cs="Times New Roman" w:ascii="Times New Roman" w:hAnsi="Times New Roman"/>
          <w:b w:val="false"/>
          <w:bCs w:val="false"/>
          <w:color w:val="000000"/>
          <w:sz w:val="28"/>
          <w:szCs w:val="28"/>
        </w:rPr>
        <w:t>административное правонарушение</w:t>
      </w:r>
      <w:r>
        <w:rPr>
          <w:rFonts w:cs="Times New Roman" w:ascii="Times New Roman" w:hAnsi="Times New Roman"/>
          <w:b w:val="false"/>
          <w:bCs w:val="false"/>
          <w:color w:val="000000" w:themeColor="text1"/>
          <w:sz w:val="28"/>
          <w:szCs w:val="28"/>
        </w:rPr>
        <w:t xml:space="preserve">, что 2,5 раза превышает показатели 2017 года.  Причем в значительной степени рост  административных правонарушений выявлен в рамках исполнительных производств как имущественного, так и неимущественного характера. </w:t>
      </w:r>
      <w:r/>
    </w:p>
    <w:p>
      <w:pPr>
        <w:pStyle w:val="Normal"/>
        <w:spacing w:lineRule="auto" w:line="240" w:before="0" w:after="0"/>
        <w:ind w:firstLine="709"/>
        <w:jc w:val="both"/>
        <w:rPr>
          <w:sz w:val="28"/>
          <w:b w:val="false"/>
          <w:sz w:val="28"/>
          <w:b w:val="false"/>
          <w:szCs w:val="28"/>
          <w:bCs w:val="false"/>
          <w:rFonts w:ascii="Times New Roman" w:hAnsi="Times New Roman" w:eastAsia="Droid Sans" w:cs="Times New Roman"/>
          <w:color w:val="000000"/>
          <w:lang w:val="ru-RU" w:eastAsia="zh-CN" w:bidi="ar-SA"/>
        </w:rPr>
      </w:pPr>
      <w:r>
        <w:rPr>
          <w:rFonts w:eastAsia="Droid Sans" w:cs="Times New Roman" w:ascii="Times New Roman" w:hAnsi="Times New Roman"/>
          <w:b w:val="false"/>
          <w:bCs w:val="false"/>
          <w:color w:val="000000"/>
          <w:sz w:val="28"/>
          <w:szCs w:val="28"/>
          <w:lang w:eastAsia="zh-CN"/>
        </w:rPr>
      </w:r>
      <w:r/>
    </w:p>
    <w:p>
      <w:pPr>
        <w:pStyle w:val="Normal"/>
        <w:spacing w:lineRule="auto" w:line="240" w:before="0" w:after="0"/>
        <w:ind w:firstLine="709"/>
        <w:contextualSpacing/>
        <w:jc w:val="both"/>
      </w:pPr>
      <w:r>
        <w:rPr>
          <w:rFonts w:cs="Times New Roman" w:ascii="Times New Roman" w:hAnsi="Times New Roman"/>
          <w:b w:val="false"/>
          <w:bCs w:val="false"/>
          <w:color w:val="000000" w:themeColor="text1"/>
          <w:sz w:val="28"/>
          <w:szCs w:val="28"/>
        </w:rPr>
        <w:t xml:space="preserve">Как руководитель, оценивая работу севастопольской службы судебных приставов, я всегда уделяю внимание не только внутренней оценке деятельности, но и внешней оценке работы судебных приставов, которая исходит от реализации </w:t>
      </w:r>
      <w:r>
        <w:rPr>
          <w:rFonts w:cs="Times New Roman" w:ascii="Times New Roman" w:hAnsi="Times New Roman"/>
          <w:b w:val="false"/>
          <w:bCs w:val="false"/>
          <w:color w:val="000000"/>
          <w:sz w:val="28"/>
          <w:szCs w:val="28"/>
        </w:rPr>
        <w:t xml:space="preserve">прокурорского надзора, судебного обжалования действий (бездействия) должностных лиц службы, рассмотрения жалоб, поданных в порядке подчиненности и обращений граждан. </w:t>
      </w:r>
      <w:r/>
    </w:p>
    <w:p>
      <w:pPr>
        <w:pStyle w:val="Normal"/>
        <w:spacing w:lineRule="auto" w:line="240" w:before="0" w:after="0"/>
        <w:ind w:firstLine="709"/>
        <w:contextualSpacing/>
        <w:jc w:val="both"/>
      </w:pPr>
      <w:r>
        <w:rPr>
          <w:rFonts w:cs="Times New Roman" w:ascii="Times New Roman" w:hAnsi="Times New Roman"/>
          <w:b w:val="false"/>
          <w:bCs w:val="false"/>
          <w:color w:val="000000" w:themeColor="text1"/>
          <w:sz w:val="28"/>
          <w:szCs w:val="28"/>
        </w:rPr>
        <w:t xml:space="preserve">Прокурорами в 2018 году проведено 47 проверок деятельности структурных подразделений Управления, по итогам которых поступило 77 актов прокурорского реагирования. При этом количество внесенных представлений было равнозначно уровню 2017 года (19), а число протестов увеличилось на 35% (с 38 до 58).  Более того, число выявленных прокурорами нарушений законодательства возросло практически втрое, касались они, в подавляющем большинстве, организации исполнительного производства, вопросов административной практики, организации дознания  и порядка рассмотрений граждан. </w:t>
      </w:r>
      <w:r/>
    </w:p>
    <w:p>
      <w:pPr>
        <w:pStyle w:val="Normal"/>
        <w:spacing w:lineRule="auto" w:line="240" w:before="0" w:after="0"/>
        <w:ind w:firstLine="709"/>
        <w:contextualSpacing/>
        <w:jc w:val="both"/>
      </w:pPr>
      <w:r>
        <w:rPr>
          <w:rFonts w:cs="Times New Roman" w:ascii="Times New Roman" w:hAnsi="Times New Roman"/>
          <w:b w:val="false"/>
          <w:bCs w:val="false"/>
          <w:color w:val="000000" w:themeColor="text1"/>
          <w:sz w:val="28"/>
          <w:szCs w:val="28"/>
        </w:rPr>
        <w:t xml:space="preserve">Наша задача состоит не только в устранении выявленных прокурорами нарушений, но и обучении конкретного судебного пристава – исполнителя не допускать нарушений в дальнейшей работе.    </w:t>
      </w:r>
      <w:r/>
    </w:p>
    <w:p>
      <w:pPr>
        <w:pStyle w:val="Normal"/>
        <w:spacing w:lineRule="auto" w:line="240" w:before="0" w:after="0"/>
        <w:ind w:firstLine="709"/>
        <w:jc w:val="both"/>
      </w:pPr>
      <w:r>
        <w:rPr>
          <w:rFonts w:eastAsia="Times New Roman" w:cs="Times New Roman" w:ascii="Times New Roman" w:hAnsi="Times New Roman"/>
          <w:b w:val="false"/>
          <w:bCs w:val="false"/>
          <w:color w:val="000000" w:themeShade="80"/>
          <w:sz w:val="28"/>
          <w:szCs w:val="28"/>
          <w:lang w:eastAsia="ru-RU"/>
        </w:rPr>
        <w:t>Количество заявлений об оспаривании постановлений, действий (бездействия) должностных лиц Управления</w:t>
      </w:r>
      <w:r>
        <w:rPr>
          <w:rFonts w:eastAsia="Times New Roman" w:cs="Times New Roman" w:ascii="Times New Roman" w:hAnsi="Times New Roman"/>
          <w:b w:val="false"/>
          <w:bCs w:val="false"/>
          <w:color w:val="000000"/>
          <w:sz w:val="28"/>
          <w:szCs w:val="28"/>
          <w:lang w:eastAsia="ru-RU"/>
        </w:rPr>
        <w:t xml:space="preserve">, принятых судами к производству в отчетном периоде составило 248, в сравнении с 2017 годом уменьшение составило на 25% </w:t>
      </w:r>
      <w:r>
        <w:rPr>
          <w:rFonts w:eastAsia="Times New Roman" w:cs="Times New Roman" w:ascii="Times New Roman" w:hAnsi="Times New Roman"/>
          <w:b w:val="false"/>
          <w:bCs w:val="false"/>
          <w:i/>
          <w:iCs/>
          <w:color w:val="000000" w:themeColor="text1"/>
          <w:sz w:val="28"/>
          <w:szCs w:val="28"/>
          <w:lang w:eastAsia="ru-RU"/>
        </w:rPr>
        <w:t>(330).</w:t>
      </w:r>
      <w:r>
        <w:rPr>
          <w:rFonts w:eastAsia="Times New Roman" w:cs="Times New Roman" w:ascii="Times New Roman" w:hAnsi="Times New Roman"/>
          <w:b w:val="false"/>
          <w:bCs w:val="false"/>
          <w:color w:val="000000" w:themeColor="text1"/>
          <w:sz w:val="28"/>
          <w:szCs w:val="28"/>
          <w:lang w:eastAsia="ru-RU"/>
        </w:rPr>
        <w:t xml:space="preserve"> </w:t>
      </w:r>
      <w:r>
        <w:rPr>
          <w:rFonts w:eastAsia="Times New Roman" w:cs="Times New Roman" w:ascii="Times New Roman" w:hAnsi="Times New Roman"/>
          <w:b w:val="false"/>
          <w:bCs w:val="false"/>
          <w:color w:val="000000"/>
          <w:sz w:val="28"/>
          <w:szCs w:val="28"/>
          <w:lang w:eastAsia="ru-RU"/>
        </w:rPr>
        <w:t xml:space="preserve">Тематика поступивших заявлений касалась оспаривания действий по вынесению постановлений о взыскании исполнительского сбора, обращения взыскания на денежные средства, возбуждения и окончания исполнительных производств, расчета задолженности по алиментам, оспаривания оценки арестованного имущества а также неприменения мер по исполнительным производствам. </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lang w:eastAsia="ru-RU"/>
        </w:rPr>
        <w:t>По результатам рассмотрения судами административных заявлений удовлетворено судами – 18, что в 78% меньше, чем за 2017 год.</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lang w:eastAsia="ru-RU"/>
        </w:rPr>
        <w:t xml:space="preserve">Нашей задачей на 2019 год является сохранение тенденции по снижению количества обращений в суды </w:t>
        <w:br/>
        <w:t>об оспаривании действий (бездействия) должностных лиц Управления, путем неукоснительного соблюдения законности на всех уровнях, в действиях каждого должностного лица службы,</w:t>
      </w:r>
      <w:r>
        <w:rPr>
          <w:rFonts w:eastAsia="Times New Roman" w:cs="Times New Roman" w:ascii="Times New Roman" w:hAnsi="Times New Roman"/>
          <w:b w:val="false"/>
          <w:bCs w:val="false"/>
          <w:i/>
          <w:iCs/>
          <w:color w:val="000000"/>
          <w:sz w:val="28"/>
          <w:szCs w:val="28"/>
          <w:lang w:eastAsia="ru-RU"/>
        </w:rPr>
        <w:t xml:space="preserve"> </w:t>
      </w:r>
      <w:r>
        <w:rPr>
          <w:rFonts w:eastAsia="Times New Roman" w:cs="Times New Roman" w:ascii="Times New Roman" w:hAnsi="Times New Roman"/>
          <w:b w:val="false"/>
          <w:bCs w:val="false"/>
          <w:color w:val="000000"/>
          <w:sz w:val="28"/>
          <w:szCs w:val="28"/>
          <w:lang w:eastAsia="ru-RU"/>
        </w:rPr>
        <w:t>включая правильность, своевременность и полноту при осуществлении исполнительного производства</w:t>
      </w:r>
      <w:r>
        <w:rPr>
          <w:rFonts w:eastAsia="Times New Roman" w:cs="Times New Roman" w:ascii="Times New Roman" w:hAnsi="Times New Roman"/>
          <w:b w:val="false"/>
          <w:bCs w:val="false"/>
          <w:i/>
          <w:iCs/>
          <w:color w:val="000000"/>
          <w:sz w:val="28"/>
          <w:szCs w:val="28"/>
          <w:lang w:eastAsia="ru-RU"/>
        </w:rPr>
        <w:t>.</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lang w:eastAsia="ru-RU"/>
        </w:rPr>
        <w:t>Особо следует отметить, что в целях соблюдения законности необходимо минимизировать и в последующем исключить возможные риски коррупционных проявлений, а также условий для хищения денежных средств.</w:t>
      </w:r>
      <w:r/>
    </w:p>
    <w:p>
      <w:pPr>
        <w:pStyle w:val="Normal"/>
        <w:spacing w:lineRule="auto" w:line="240" w:before="0" w:after="0"/>
        <w:ind w:firstLine="709"/>
        <w:jc w:val="both"/>
      </w:pPr>
      <w:r>
        <w:rPr>
          <w:rFonts w:eastAsia="Times New Roman" w:cs="Times New Roman" w:ascii="Times New Roman" w:hAnsi="Times New Roman"/>
          <w:b w:val="false"/>
          <w:bCs w:val="false"/>
          <w:color w:val="000000" w:themeColor="text1"/>
          <w:sz w:val="28"/>
          <w:szCs w:val="28"/>
          <w:lang w:eastAsia="ru-RU"/>
        </w:rPr>
        <w:t xml:space="preserve">Принято к рассмотрению за прошлый год 569 обращений в порядке Федерального закона от 02.05.2006 № 59-ФЗ «О порядке рассмотрения обращений граждан Российской Федерации», что на 30% меньше уровня 2017 года </w:t>
      </w:r>
      <w:r>
        <w:rPr>
          <w:rFonts w:eastAsia="Times New Roman" w:cs="Times New Roman" w:ascii="Times New Roman" w:hAnsi="Times New Roman"/>
          <w:b w:val="false"/>
          <w:bCs w:val="false"/>
          <w:iCs/>
          <w:color w:val="000000" w:themeColor="text1"/>
          <w:sz w:val="28"/>
          <w:szCs w:val="28"/>
          <w:lang w:eastAsia="ru-RU"/>
        </w:rPr>
        <w:t>(806).</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lang w:eastAsia="ru-RU"/>
        </w:rPr>
        <w:t xml:space="preserve">В обращениях гражданами поставлены вопросы, связанные с взысканием денежных средств и алиментов, по жилищным вопросам, трудовым спорам и иным. </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lang w:eastAsia="ru-RU"/>
        </w:rPr>
        <w:t>В работе с обращениями приоритетной задачей остается объективное, всестороннее и своевременное их рассмотрение и принятие мер, направленных на восстановление нарушенных прав, свобод и законных интересов заявителя.</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lang w:eastAsia="ru-RU"/>
        </w:rPr>
        <w:t xml:space="preserve">Структурным подразделениям необходимо повысить качество проводимых проверок по обращениям и жалобам. В случае признания их обоснованными, обеспечить принятие всех необходимых мер, в том числе дисциплинарного характера. </w:t>
      </w:r>
      <w:r/>
    </w:p>
    <w:p>
      <w:pPr>
        <w:pStyle w:val="Normal"/>
        <w:shd w:val="clear" w:color="auto" w:themeColor="" w:themeTint="0" w:themeShade="0" w:fill="FFFFFF" w:themeFill="" w:themeFillTint="0" w:themeFillShade="0"/>
        <w:spacing w:lineRule="auto" w:line="240" w:before="0" w:after="0"/>
        <w:ind w:firstLine="709"/>
        <w:jc w:val="both"/>
      </w:pPr>
      <w:r>
        <w:rPr>
          <w:rFonts w:eastAsia="Times New Roman" w:cs="Times New Roman" w:ascii="Times New Roman" w:hAnsi="Times New Roman"/>
          <w:b w:val="false"/>
          <w:bCs w:val="false"/>
          <w:color w:val="000000" w:themeShade="80"/>
          <w:sz w:val="28"/>
          <w:szCs w:val="28"/>
          <w:lang w:eastAsia="ru-RU"/>
        </w:rPr>
        <w:t>Общее количество жалоб на постановления, действия (бездействие) должностных лиц Управления, поданных в порядке подчиненности</w:t>
      </w:r>
      <w:r>
        <w:rPr>
          <w:rFonts w:eastAsia="Times New Roman" w:cs="Times New Roman" w:ascii="Times New Roman" w:hAnsi="Times New Roman"/>
          <w:b w:val="false"/>
          <w:bCs w:val="false"/>
          <w:color w:val="000000"/>
          <w:sz w:val="28"/>
          <w:szCs w:val="28"/>
          <w:lang w:eastAsia="ru-RU"/>
        </w:rPr>
        <w:t xml:space="preserve"> в 2018 году составило 600, что на 64% больше чем за 2017 год </w:t>
      </w:r>
      <w:r>
        <w:rPr>
          <w:rFonts w:eastAsia="Times New Roman" w:cs="Times New Roman" w:ascii="Times New Roman" w:hAnsi="Times New Roman"/>
          <w:b w:val="false"/>
          <w:bCs w:val="false"/>
          <w:i/>
          <w:iCs/>
          <w:color w:val="000000"/>
          <w:sz w:val="28"/>
          <w:szCs w:val="28"/>
          <w:lang w:eastAsia="ru-RU"/>
        </w:rPr>
        <w:t>(365).</w:t>
      </w:r>
      <w:r>
        <w:rPr>
          <w:rFonts w:eastAsia="Times New Roman" w:cs="Times New Roman" w:ascii="Times New Roman" w:hAnsi="Times New Roman"/>
          <w:b w:val="false"/>
          <w:bCs w:val="false"/>
          <w:color w:val="000000"/>
          <w:sz w:val="28"/>
          <w:szCs w:val="28"/>
          <w:lang w:eastAsia="ru-RU"/>
        </w:rPr>
        <w:t xml:space="preserve"> Более половины жалоб, поданных в порядке подчиненности, касались исполнительных производств о взыскании денежных средств, в том числе алиментов.</w:t>
      </w:r>
      <w:r/>
    </w:p>
    <w:p>
      <w:pPr>
        <w:pStyle w:val="Normal"/>
        <w:spacing w:lineRule="auto" w:line="240" w:before="0" w:after="0"/>
        <w:ind w:firstLine="709"/>
        <w:jc w:val="both"/>
      </w:pPr>
      <w:r>
        <w:rPr>
          <w:rFonts w:cs="Times New Roman" w:ascii="Times New Roman" w:hAnsi="Times New Roman"/>
          <w:b w:val="false"/>
          <w:bCs w:val="false"/>
          <w:color w:val="000000"/>
          <w:sz w:val="28"/>
          <w:szCs w:val="28"/>
        </w:rPr>
        <w:t xml:space="preserve">Особое внимание со стороны Федеральной службы судебных приставов и соответственно нами уделяется работе с гражданами в рамках реализации принципов открытости деятельности федеральных органов исполнительной власти.  Основной вектор данной работы заключается в побуждении граждан к добровольному погашению задолженности, разъяснению преимуществ своевременной оплаты, проверки состояния по интернет - сервису  «Банк данных исполнительных производств». Так, </w:t>
      </w:r>
      <w:r>
        <w:rPr>
          <w:rFonts w:ascii="Times New Roman" w:hAnsi="Times New Roman"/>
          <w:b w:val="false"/>
          <w:bCs w:val="false"/>
          <w:color w:val="000000" w:themeColor="text1"/>
          <w:sz w:val="28"/>
          <w:szCs w:val="28"/>
        </w:rPr>
        <w:t>к информационному ресурсу в прошлом году зафиксировано 53 тысячи обращений, что на 50% больше уровня 2017 года.</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shd w:fill="FFFFFF" w:val="clear"/>
          <w:lang w:eastAsia="ru-RU"/>
        </w:rPr>
        <w:t>Службой на постоянной основе реализуются меры, направленные на совершенствование механизмов взаимодействия с гражданами и организациями</w:t>
      </w:r>
      <w:r>
        <w:rPr>
          <w:rFonts w:eastAsia="Times New Roman" w:cs="Times New Roman" w:ascii="Times New Roman" w:hAnsi="Times New Roman"/>
          <w:b w:val="false"/>
          <w:bCs w:val="false"/>
          <w:color w:val="000000"/>
          <w:sz w:val="28"/>
          <w:szCs w:val="28"/>
          <w:lang w:eastAsia="ru-RU"/>
        </w:rPr>
        <w:t>.</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shd w:fill="FFFFFF" w:val="clear"/>
          <w:lang w:eastAsia="ru-RU"/>
        </w:rPr>
        <w:t xml:space="preserve">В первую очередь, необходимо сказать о государственных услугах. </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lang w:eastAsia="ru-RU"/>
        </w:rPr>
        <w:t xml:space="preserve">Согласно данным на официальном сайте Правительства </w:t>
        <w:br/>
        <w:t xml:space="preserve">Российской Федерации, услуга ФССП России вошла в десятку самых популярных государственных услуг наряду с услугами МВД России, ГИБДД, Федеральной налоговой службы и Пенсионного фонда. </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lang w:eastAsia="ru-RU"/>
        </w:rPr>
        <w:t>В прошедшем году общее количество предоставленных Управлением государственных услуг ФССП России составило 1 105, что на 74% больше 2017 года (632). Все услуги предоставлены в электронном виде.</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lang w:eastAsia="ru-RU"/>
        </w:rPr>
        <w:t>Государственная услуга ФССП России по предоставлению информации по находящимся на исполнении исполнительным производствам продолжает оставаться одной из наиболее массовых и популярных среди населения.</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lang w:eastAsia="ru-RU"/>
        </w:rPr>
        <w:t xml:space="preserve">На сегодняшний день обеспечено максимально полное информирование граждан о порядке предоставления услуг на Едином портале государственных и муниципальных услуг. </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lang w:eastAsia="ru-RU"/>
        </w:rPr>
        <w:t xml:space="preserve">Большое внимание уделяется вопросам предоставления государственной услуги ФССП России через многофункциональные центры предоставления государственных и муниципальных услуг. </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lang w:eastAsia="ru-RU"/>
        </w:rPr>
        <w:t>К сожалению, МФЦ Севастополя не было подключено к сведениям ФССП России в системе межведомственного электронного взаимодействия - СМЭВ3, поэтому через МФЦ по экстерриториальному принципу, независимо от места проживания или регистрации заявителя услуга по севастопольской Службе не предоставлялась.</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lang w:eastAsia="ru-RU"/>
        </w:rPr>
        <w:t xml:space="preserve">Одной из приоритетных задач на ближайшую перспективу является реализация распоряжения Правительства Российской Федерации от 19.01.2018 № 43-р. </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lang w:eastAsia="ru-RU"/>
        </w:rPr>
        <w:t>В связи с чем, совместно с Правительством города Севастополя и региональным МФЦ нам предстоит решить вопрос о присоединении к СМЭВ3, чтобы получить услугу ФССП России по севастопольской службе к 1 июля 2019 года мог каждый гражданин, независимо от места его жительства или пребывания, в любом предоставляющем ее структурном подразделении, в любом территориальном органе ФССП России</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lang w:eastAsia="ru-RU"/>
        </w:rPr>
        <w:t>Также в число задач входят популяризация получения государственной услуги в электронной форме, постоянный мониторинг уровня удовлетворенности граждан качеством предоставления государственных услуг и своевременное рассмотрение отзывов для устранения возможных негативных факторов.</w:t>
      </w:r>
      <w:r/>
    </w:p>
    <w:p>
      <w:pPr>
        <w:pStyle w:val="Normal"/>
        <w:spacing w:lineRule="auto" w:line="240" w:before="0" w:after="0"/>
        <w:ind w:firstLine="709"/>
        <w:jc w:val="both"/>
      </w:pPr>
      <w:r>
        <w:rPr>
          <w:rFonts w:eastAsia="Times New Roman" w:cs="Times New Roman" w:ascii="Times New Roman" w:hAnsi="Times New Roman"/>
          <w:b w:val="false"/>
          <w:bCs w:val="false"/>
          <w:color w:val="000000"/>
          <w:sz w:val="28"/>
          <w:szCs w:val="28"/>
          <w:lang w:eastAsia="ru-RU"/>
        </w:rPr>
        <w:t>За 2018 год в рамках личного приема принято 526 гражданин, из которых, 76 (14%) принято мной, 113 (21%) – моими заместителями и остальные граждане, в основном, старшими судебными приставами.</w:t>
      </w:r>
      <w:r/>
    </w:p>
    <w:p>
      <w:pPr>
        <w:pStyle w:val="Normal"/>
        <w:spacing w:lineRule="auto" w:line="240" w:before="0" w:after="0"/>
        <w:ind w:firstLine="709"/>
        <w:contextualSpacing/>
        <w:jc w:val="both"/>
      </w:pPr>
      <w:r>
        <w:rPr>
          <w:rFonts w:cs="Times New Roman" w:ascii="Times New Roman" w:hAnsi="Times New Roman"/>
          <w:b w:val="false"/>
          <w:bCs w:val="false"/>
          <w:color w:val="000000" w:themeColor="text1"/>
          <w:sz w:val="28"/>
          <w:szCs w:val="28"/>
        </w:rPr>
        <w:t xml:space="preserve">Судебными приставами </w:t>
      </w:r>
      <w:r>
        <w:rPr>
          <w:rFonts w:cs="Times New Roman" w:ascii="Times New Roman" w:hAnsi="Times New Roman"/>
          <w:b w:val="false"/>
          <w:bCs w:val="false"/>
          <w:color w:val="000000"/>
          <w:sz w:val="28"/>
          <w:szCs w:val="28"/>
        </w:rPr>
        <w:t xml:space="preserve">по обеспечению установленного прядка деятельности судов Управления </w:t>
      </w:r>
      <w:r>
        <w:rPr>
          <w:rFonts w:cs="Times New Roman" w:ascii="Times New Roman" w:hAnsi="Times New Roman"/>
          <w:b w:val="false"/>
          <w:bCs w:val="false"/>
          <w:color w:val="000000" w:themeColor="text1"/>
          <w:sz w:val="28"/>
          <w:szCs w:val="28"/>
        </w:rPr>
        <w:t xml:space="preserve">обеспечивалась  безопасность 8 федеральных судов, 3 из которых  обеспечены охраной в круглосуточном режиме (Двадцать первый арбитражный апелляционный суд, Арбитражный суд города Севастополя, Севастопольский городской суд), и  21 судебный участок мировых судей </w:t>
      </w:r>
      <w:r/>
    </w:p>
    <w:p>
      <w:pPr>
        <w:pStyle w:val="NormalWeb"/>
        <w:spacing w:lineRule="auto" w:line="240" w:beforeAutospacing="0" w:before="0" w:after="0"/>
        <w:ind w:firstLine="709"/>
        <w:jc w:val="both"/>
      </w:pPr>
      <w:r>
        <w:rPr>
          <w:b w:val="false"/>
          <w:bCs w:val="false"/>
          <w:color w:val="000000" w:themeColor="text1"/>
          <w:sz w:val="28"/>
          <w:szCs w:val="28"/>
        </w:rPr>
        <w:t>По направлению обеспечения установленного порядка деятельности  мы работаем в тесном взаимодействии с Управлением судебного департамента в г. Севастополе, Управлением обеспечения деятельности мировых судей, на постоянной повестке дня мы обсуждаем вопросы технической обеспеченности зданий и помещений судов средствами                         и системами безопасности, поверку их работоспособности. По итогам последнего комиссионного обследования, проведенного осенью прошлого года, установлено удовлетворительное состояние технической оснащенности, отмечено значительное улучшение по судебным участкам мировых судей, отдельные недостатки зафиксированы помещениях зданий СУМС Нахимовского судебного района № 17 и СУМС Балаклавского судебного района № 13 отсутствуют  служебные помещения для судебных приставов; охранная, пожарная и тревожная сигнализации; система видеонаблюдения; прямая связь с ОВД по городскому телефону; кнопки  и брелоки экстренного вызова судебных приставов по ОУПДС;  турникет на посту входного контроля.</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Выполнены все поступившие в 2018 году заявки на обеспечение безопасности судей, заседателей и иных участников судебного процесса  в судебных заседаниях. Их  число в 2018 году возросло на 23% в сравнении с 2017 годом и составило  почти 3911.</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Вместе с тем, по итогам работы в 2018 году отмечено снижение на 44% количества  постановлений (определений) судов в отношении лиц, подлежащих приводу (941), из которых исполнено 86,8% (817).</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В полном объеме  выполнены 1588 заявок по обеспечению безопасности судебных приставов — исполнителей при осуществлении ими исполнительных действий, что на 64% больше уровня 2017 года.</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 xml:space="preserve">В судах Севастополя чрезвычайных происшествий не допущено, в ходе служебной деятельности судебными приставами по ОУПДС. Пресечено </w:t>
      </w:r>
      <w:r>
        <w:rPr>
          <w:rFonts w:eastAsia="Calibri" w:cs="Times New Roman" w:ascii="Times New Roman" w:hAnsi="Times New Roman"/>
          <w:b w:val="false"/>
          <w:bCs w:val="false"/>
          <w:color w:val="000000" w:themeColor="text1"/>
          <w:sz w:val="28"/>
          <w:szCs w:val="28"/>
        </w:rPr>
        <w:t xml:space="preserve"> 4485</w:t>
      </w:r>
      <w:r>
        <w:rPr>
          <w:rFonts w:cs="Times New Roman" w:ascii="Times New Roman" w:hAnsi="Times New Roman"/>
          <w:b w:val="false"/>
          <w:bCs w:val="false"/>
          <w:color w:val="000000" w:themeColor="text1"/>
          <w:sz w:val="28"/>
          <w:szCs w:val="28"/>
        </w:rPr>
        <w:t xml:space="preserve"> попыток проноса в здания судов запрещенных веществ и предметов                                 (в 2017 году – 4531).</w:t>
      </w:r>
      <w:r>
        <w:rPr>
          <w:rFonts w:eastAsia="Calibri" w:cs="Times New Roman" w:ascii="Times New Roman" w:hAnsi="Times New Roman"/>
          <w:b w:val="false"/>
          <w:bCs w:val="false"/>
          <w:color w:val="000000" w:themeColor="text1"/>
          <w:sz w:val="28"/>
          <w:szCs w:val="28"/>
        </w:rPr>
        <w:t xml:space="preserve">  С 2015 года количество выявленных                                            у граждан запрещенных предметов ежегодно снижается, что свидетельствует о повышении уровня культуры  посещения государственных органов.</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В 2018 году продолжена практика проведения внезапных проверок осуществления пропускного режима  и несения службы в зданиях судов, всего их  состоялось 124.</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 xml:space="preserve">При реализации полномочий </w:t>
      </w:r>
      <w:r>
        <w:rPr>
          <w:rFonts w:eastAsia="Calibri" w:cs="Times New Roman" w:ascii="Times New Roman" w:hAnsi="Times New Roman"/>
          <w:b w:val="false"/>
          <w:bCs w:val="false"/>
          <w:color w:val="000000" w:themeColor="text1"/>
          <w:sz w:val="28"/>
          <w:szCs w:val="28"/>
        </w:rPr>
        <w:t xml:space="preserve">по оказанию органам внутренних дел содействия в розыске и задержания лиц, скрывавшихся от органов дознания, следствия или суда, судебными приставами по ОУПДС задержано 29 человек, из них за тяжкие преступления – 5, небольшой тяжести - 14, средней тяжести – 10. </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 xml:space="preserve">В мае прошлого года в соответствии планом Координационного совещания правоохранительных органов города Севастополя при прокуратуре города Севастополя  мы провели межведомственный семинар с участием представителей правоохранительных органов города по вопросам проведения совместных мероприятий  по розыску и задержанию лиц, скрывающихся от органов дознания, следствия и суда, а также принудительном выдворении за пределы Российской Федерации иностранных граждан и лиц без гражданства. По итогам которого Управление вышло с инициативой об оказании содействия в розыске не только по базам данных УМВД России по г. Севастополю, но и по базам розыска УФСИН по Республике Крым и г. Севастополю, вопрос пока находится на рассмотрении. </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 xml:space="preserve">Системно с судебными приставами по ОУПДС проводятся </w:t>
      </w:r>
      <w:r>
        <w:rPr>
          <w:rFonts w:cs="Times New Roman" w:ascii="Times New Roman" w:hAnsi="Times New Roman"/>
          <w:b w:val="false"/>
          <w:bCs w:val="false"/>
          <w:color w:val="000000" w:themeColor="text1"/>
          <w:sz w:val="28"/>
          <w:szCs w:val="28"/>
          <w:lang w:val="uk-UA"/>
        </w:rPr>
        <w:t>занятия по спецподготовке (24), проведено 3 комплексних зачета</w:t>
      </w:r>
      <w:r>
        <w:rPr>
          <w:rFonts w:cs="Times New Roman" w:ascii="Times New Roman" w:hAnsi="Times New Roman"/>
          <w:b w:val="false"/>
          <w:bCs w:val="false"/>
          <w:color w:val="000000" w:themeColor="text1"/>
          <w:sz w:val="28"/>
          <w:szCs w:val="28"/>
        </w:rPr>
        <w:t xml:space="preserve"> на пригодность судебных по ОУПДС к действиям в условиях, связанных с применением физической силы специальных средств и огнестрельного оружия, а так же 12 тренировок по отработке судебными приставами по ОУПДС действий при возникновении чрезвычайных ситуаций в зданиях, помещениях судов. Тренировки проводились в разных зданиях судов города Севастополя, помещении Управления  с привлечением сотрудников судов, Управления судебного департамента в г. Севастополе, Управлением обеспечения деятельности мировых судей, ГУ МЧС России по Севастополю, УМВД России по г. Севастополю, скорой медицинской помощи. </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Организовано препровождение</w:t>
      </w:r>
      <w:r>
        <w:rPr>
          <w:rFonts w:eastAsia="Calibri" w:cs="Times New Roman" w:ascii="Times New Roman" w:hAnsi="Times New Roman"/>
          <w:b w:val="false"/>
          <w:bCs w:val="false"/>
          <w:color w:val="000000" w:themeColor="text1"/>
          <w:sz w:val="28"/>
          <w:szCs w:val="28"/>
        </w:rPr>
        <w:t xml:space="preserve"> до пункта пропуска через государственную границу Российской Федерации с целью принудительного выдворения 3 иностранных гражданина и </w:t>
      </w:r>
      <w:r>
        <w:rPr>
          <w:rFonts w:cs="Times New Roman" w:ascii="Times New Roman" w:hAnsi="Times New Roman"/>
          <w:b w:val="false"/>
          <w:bCs w:val="false"/>
          <w:color w:val="000000" w:themeColor="text1"/>
          <w:w w:val="90"/>
          <w:sz w:val="28"/>
          <w:szCs w:val="28"/>
        </w:rPr>
        <w:t>3 помещены в специальное учреждение</w:t>
      </w:r>
      <w:r>
        <w:rPr>
          <w:rFonts w:eastAsia="Calibri" w:cs="Times New Roman" w:ascii="Times New Roman" w:hAnsi="Times New Roman"/>
          <w:b w:val="false"/>
          <w:bCs w:val="false"/>
          <w:color w:val="000000" w:themeColor="text1"/>
          <w:sz w:val="28"/>
          <w:szCs w:val="28"/>
        </w:rPr>
        <w:t xml:space="preserve"> (</w:t>
      </w:r>
      <w:r>
        <w:rPr>
          <w:rFonts w:cs="Times New Roman" w:ascii="Times New Roman" w:hAnsi="Times New Roman"/>
          <w:b w:val="false"/>
          <w:bCs w:val="false"/>
          <w:color w:val="000000" w:themeColor="text1"/>
          <w:sz w:val="28"/>
          <w:szCs w:val="28"/>
        </w:rPr>
        <w:t xml:space="preserve">в 2017 году </w:t>
      </w:r>
      <w:r>
        <w:rPr>
          <w:rFonts w:eastAsia="Calibri" w:cs="Times New Roman" w:ascii="Times New Roman" w:hAnsi="Times New Roman"/>
          <w:b w:val="false"/>
          <w:bCs w:val="false"/>
          <w:color w:val="000000" w:themeColor="text1"/>
          <w:sz w:val="28"/>
          <w:szCs w:val="28"/>
        </w:rPr>
        <w:t>— 3 и 6 соответственно)</w:t>
      </w:r>
      <w:r>
        <w:rPr>
          <w:rFonts w:cs="Times New Roman" w:ascii="Times New Roman" w:hAnsi="Times New Roman"/>
          <w:b w:val="false"/>
          <w:bCs w:val="false"/>
          <w:color w:val="000000" w:themeColor="text1"/>
          <w:w w:val="90"/>
          <w:sz w:val="28"/>
          <w:szCs w:val="28"/>
        </w:rPr>
        <w:t>.</w:t>
      </w:r>
      <w:r>
        <w:rPr>
          <w:rFonts w:cs="Times New Roman" w:ascii="Times New Roman" w:hAnsi="Times New Roman"/>
          <w:b w:val="false"/>
          <w:bCs w:val="false"/>
          <w:color w:val="000000" w:themeColor="text1"/>
          <w:sz w:val="28"/>
          <w:szCs w:val="28"/>
        </w:rPr>
        <w:t xml:space="preserve"> </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 xml:space="preserve">Проблемным вопросом остается отсутствие в городе Севастополе и ближайшей к нам Республике Крым специального учреждения, предназначенного для временного содержания иностранных лиц и лиц без гражданства, подлежащих административному выдворению за пределы Российской Федерации. Данная категория лиц перевозится в спецприемники Краснодарского края   и Ростовской области, где зачастую отсутствуют свободные мест для их содержания. </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В течение 2018 года Управление справилось с выполнением 13 - базовых и основных показателей, из 18 установленных Федеральной службой судебных приставов,  в связи с чем в текущем году нам предстоит  продолжить эффективно и качественно выполнить задачи, поставленные Президентом  Российской Федерации перед Федеральной службой судебных приставов в городе Севастополе, конкретно они заключаются в следующем - это</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w:t>
        <w:tab/>
        <w:t xml:space="preserve">принятие исчерпывающих мер   принудительного исполнения по всем исполнительным производствам, находящимся на исполнении; </w:t>
      </w:r>
      <w:r/>
    </w:p>
    <w:p>
      <w:pPr>
        <w:pStyle w:val="Normal"/>
        <w:spacing w:lineRule="auto" w:line="240"/>
        <w:ind w:firstLine="708"/>
        <w:jc w:val="both"/>
      </w:pPr>
      <w:r>
        <w:rPr>
          <w:rFonts w:cs="Times New Roman" w:ascii="Times New Roman" w:hAnsi="Times New Roman"/>
          <w:b w:val="false"/>
          <w:bCs w:val="false"/>
          <w:color w:val="000000" w:themeColor="text1"/>
          <w:sz w:val="28"/>
          <w:szCs w:val="28"/>
        </w:rPr>
        <w:t xml:space="preserve">- </w:t>
        <w:tab/>
        <w:t>максимальное пополнение  бюджетной системы Российской Федерации за счет взыскания задолженности   по обязательным платежам, штрафов уполномоченных органов и и исполнительского сбора;</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w:t>
        <w:tab/>
        <w:t>обеспечить законность действий должностных лиц Управления по всем направлениям деятельности;</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w:t>
        <w:tab/>
        <w:t>недопущение чрезвычайных происшествий в зданиях                               и помещениях судов Севастополя и противоправных действий в отношении должностных лиц Управления.</w:t>
      </w:r>
      <w:r/>
    </w:p>
    <w:p>
      <w:pPr>
        <w:pStyle w:val="Normal"/>
        <w:spacing w:lineRule="auto" w:line="240" w:before="0" w:after="0"/>
        <w:ind w:firstLine="709"/>
        <w:jc w:val="both"/>
      </w:pPr>
      <w:r>
        <w:rPr>
          <w:rFonts w:cs="Times New Roman" w:ascii="Times New Roman" w:hAnsi="Times New Roman"/>
          <w:b w:val="false"/>
          <w:bCs w:val="false"/>
          <w:color w:val="000000" w:themeColor="text1"/>
          <w:sz w:val="28"/>
          <w:szCs w:val="28"/>
        </w:rPr>
        <w:t>В завершении доклада, выражаю благодарность Губернатору города Севастополя и Правительству Севастополя, Уполномоченным по защите прав человека и ребенка в г. Севастополе, Уполномоченному по защите прав предпринимателей в г. Севастополе</w:t>
      </w:r>
      <w:bookmarkStart w:id="0" w:name="_GoBack"/>
      <w:bookmarkEnd w:id="0"/>
      <w:r>
        <w:rPr>
          <w:rFonts w:cs="Times New Roman" w:ascii="Times New Roman" w:hAnsi="Times New Roman"/>
          <w:b w:val="false"/>
          <w:bCs w:val="false"/>
          <w:color w:val="000000" w:themeColor="text1"/>
          <w:sz w:val="28"/>
          <w:szCs w:val="28"/>
        </w:rPr>
        <w:t xml:space="preserve"> председателям судов города Севастополя, корпусу мировых судей, руководителям федеральных органов исполнительной власти и правоохранительных структур, председателю и членам Общественного совета при Управлении, председателю и членам севастопольского отселения Межрегиональной общественной организации «Ассоциации ветеранов службы принудительного исполнения» за конструктивное сотрудничество в 2018 году, надеюсь на развитие взаимодействия  в текущем году.</w:t>
      </w:r>
      <w:r/>
    </w:p>
    <w:p>
      <w:pPr>
        <w:pStyle w:val="Normal"/>
        <w:spacing w:lineRule="auto" w:line="240" w:before="0" w:after="0"/>
        <w:ind w:firstLine="709"/>
        <w:jc w:val="both"/>
        <w:rPr>
          <w:sz w:val="22"/>
          <w:sz w:val="22"/>
          <w:szCs w:val="22"/>
          <w:rFonts w:ascii="Calibri" w:hAnsi="Calibri" w:eastAsia="Droid Sans" w:cs="Calibri"/>
          <w:color w:val="000000"/>
          <w:lang w:val="ru-RU" w:eastAsia="zh-CN" w:bidi="ar-SA"/>
        </w:rPr>
      </w:pPr>
      <w:r>
        <w:rPr>
          <w:color w:val="000000"/>
        </w:rPr>
      </w:r>
      <w:r/>
    </w:p>
    <w:sectPr>
      <w:headerReference w:type="default" r:id="rId3"/>
      <w:type w:val="nextPage"/>
      <w:pgSz w:w="11906" w:h="16838"/>
      <w:pgMar w:left="1701" w:right="850" w:header="708" w:top="993" w:footer="0" w:bottom="993"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Verdana">
    <w:charset w:val="01"/>
    <w:family w:val="roman"/>
    <w:pitch w:val="variable"/>
  </w:font>
  <w:font w:name="Tahoma">
    <w:charset w:val="01"/>
    <w:family w:val="roman"/>
    <w:pitch w:val="variable"/>
  </w:font>
  <w:font w:name="Liberation Sans">
    <w:altName w:val="Arial"/>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
      </w:docPartObj>
    </w:sdtPr>
    <w:sdtContent>
      <w:p>
        <w:pPr>
          <w:pStyle w:val="Style23"/>
          <w:jc w:val="center"/>
        </w:pPr>
        <w:r>
          <w:rPr/>
          <w:fldChar w:fldCharType="begin"/>
        </w:r>
        <w:r>
          <w:instrText> PAGE </w:instrText>
        </w:r>
        <w:r>
          <w:fldChar w:fldCharType="separate"/>
        </w:r>
        <w:r>
          <w:t>8</w:t>
        </w:r>
        <w:r>
          <w:fldChar w:fldCharType="end"/>
        </w:r>
        <w:r/>
      </w:p>
    </w:sdtContent>
  </w:sdt>
  <w:p>
    <w:pPr>
      <w:pStyle w:val="Style23"/>
    </w:pPr>
    <w:r>
      <w:rPr/>
    </w: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
      </w:docPartObj>
    </w:sdtPr>
    <w:sdtContent>
      <w:p>
        <w:pPr>
          <w:pStyle w:val="Style23"/>
          <w:jc w:val="center"/>
        </w:pPr>
        <w:r>
          <w:rPr/>
          <w:fldChar w:fldCharType="begin"/>
        </w:r>
        <w:r>
          <w:instrText> PAGE </w:instrText>
        </w:r>
        <w:r>
          <w:fldChar w:fldCharType="separate"/>
        </w:r>
        <w:r>
          <w:t>8</w:t>
        </w:r>
        <w:r>
          <w:fldChar w:fldCharType="end"/>
        </w:r>
        <w:r/>
      </w:p>
    </w:sdtContent>
  </w:sdt>
  <w:p>
    <w:pPr>
      <w:pStyle w:val="Style23"/>
    </w:pPr>
    <w:r>
      <w:rPr/>
    </w:r>
    <w:r/>
  </w:p>
</w:hdr>
</file>

<file path=word/settings.xml><?xml version="1.0" encoding="utf-8"?>
<w:settings xmlns:w="http://schemas.openxmlformats.org/wordprocessingml/2006/main">
  <w:zoom w:percent="18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pacing w:lineRule="auto" w:line="276"/>
      </w:pPr>
    </w:pPrDefault>
  </w:docDefaults>
  <w:latentStyles w:count="267" w:defQFormat="0" w:defUnhideWhenUsed="1" w:defSemiHidden="1" w:defUIPriority="99" w:defLockedState="0">
    <w:lsdException w:qFormat="1" w:unhideWhenUsed="0" w:semiHidden="0" w:uiPriority="0" w:name="Normal"/>
    <w:lsdException w:qFormat="1" w:unhideWhenUsed="0" w:semiHidden="0" w:uiPriority="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unhideWhenUsed="0" w:semiHidden="0" w:uiPriority="10" w:name="Title"/>
    <w:lsdException w:uiPriority="1" w:name="Default Paragraph Font"/>
    <w:lsdException w:qFormat="1" w:unhideWhenUsed="0" w:semiHidden="0" w:uiPriority="11" w:name="Subtitle"/>
    <w:lsdException w:qFormat="1" w:unhideWhenUsed="0" w:semiHidden="0" w:uiPriority="22" w:name="Strong"/>
    <w:lsdException w:qFormat="1" w:unhideWhenUsed="0" w:semiHidden="0" w:uiPriority="20" w:name="Emphasis"/>
    <w:lsdException w:unhideWhenUsed="0" w:semiHidden="0" w:uiPriority="59" w:name="Table Grid"/>
    <w:lsdException w:unhideWhenUsed="0" w:name="Placeholder Text"/>
    <w:lsdException w:qFormat="1" w:unhideWhenUsed="0" w:semiHidden="0"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name="Revision"/>
    <w:lsdException w:qFormat="1" w:unhideWhenUsed="0" w:semiHidden="0" w:uiPriority="34" w:name="List Paragraph"/>
    <w:lsdException w:qFormat="1" w:unhideWhenUsed="0" w:semiHidden="0" w:uiPriority="29" w:name="Quote"/>
    <w:lsdException w:qFormat="1" w:unhideWhenUsed="0" w:semiHidden="0" w:uiPriority="30" w:name="Intense Quote"/>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sdException w:qFormat="1" w:unhideWhenUsed="0" w:semiHidden="0" w:uiPriority="19" w:name="Subtle Emphasis"/>
    <w:lsdException w:qFormat="1" w:unhideWhenUsed="0" w:semiHidden="0" w:uiPriority="21" w:name="Intense Emphasis"/>
    <w:lsdException w:qFormat="1" w:unhideWhenUsed="0" w:semiHidden="0" w:uiPriority="31" w:name="Subtle Reference"/>
    <w:lsdException w:qFormat="1" w:unhideWhenUsed="0" w:semiHidden="0" w:uiPriority="32" w:name="Intense Reference"/>
    <w:lsdException w:qFormat="1" w:unhideWhenUsed="0" w:semiHidden="0" w:uiPriority="33" w:name="Book Title"/>
    <w:lsdException w:uiPriority="37" w:name="Bibliography"/>
    <w:lsdException w:qFormat="1" w:uiPriority="39" w:name="TOC Heading"/>
  </w:latentStyles>
  <w:style w:type="paragraph" w:styleId="Normal" w:customStyle="1">
    <w:name w:val="Normal"/>
    <w:rsid w:val="00c43983"/>
    <w:pPr>
      <w:widowControl/>
      <w:tabs>
        <w:tab w:val="left" w:pos="708" w:leader="none"/>
      </w:tabs>
      <w:suppressAutoHyphens w:val="true"/>
      <w:bidi w:val="0"/>
      <w:spacing w:lineRule="auto" w:line="276" w:before="0" w:after="200"/>
      <w:jc w:val="left"/>
      <w:textAlignment w:val="baseline"/>
    </w:pPr>
    <w:rPr>
      <w:rFonts w:ascii="Calibri" w:hAnsi="Calibri" w:eastAsia="Droid Sans" w:cs="Calibri"/>
      <w:color w:val="00000A"/>
      <w:sz w:val="22"/>
      <w:szCs w:val="22"/>
      <w:lang w:val="ru-RU" w:eastAsia="zh-CN" w:bidi="ar-SA"/>
    </w:rPr>
  </w:style>
  <w:style w:type="paragraph" w:styleId="1">
    <w:name w:val="Заголовок 1"/>
    <w:basedOn w:val="Normal"/>
    <w:link w:val="10"/>
    <w:qFormat/>
    <w:rsid w:val="003f4c17"/>
    <w:pPr>
      <w:tabs>
        <w:tab w:val="left" w:pos="360" w:leader="none"/>
      </w:tabs>
      <w:spacing w:lineRule="auto" w:line="240" w:before="280" w:after="280"/>
      <w:outlineLvl w:val="0"/>
    </w:pPr>
    <w:rPr>
      <w:rFonts w:ascii="Times New Roman" w:hAnsi="Times New Roman" w:eastAsia="Times New Roman" w:cs="Times New Roman"/>
      <w:b/>
      <w:bCs/>
      <w:sz w:val="48"/>
      <w:szCs w:val="48"/>
      <w:lang w:val="uk-UA" w:eastAsia="zh-CN"/>
    </w:rPr>
  </w:style>
  <w:style w:type="character" w:styleId="DefaultParagraphFont" w:default="1">
    <w:name w:val="Default Paragraph Font"/>
    <w:uiPriority w:val="1"/>
    <w:semiHidden/>
    <w:unhideWhenUsed/>
    <w:rPr/>
  </w:style>
  <w:style w:type="character" w:styleId="202020141" w:customStyle="1">
    <w:name w:val="фссп_20_содержимое_20_таблицы_20_141"/>
    <w:basedOn w:val="DefaultParagraphFont"/>
    <w:rsid w:val="00ee5da6"/>
    <w:rPr/>
  </w:style>
  <w:style w:type="character" w:styleId="Style13" w:customStyle="1">
    <w:name w:val="Основной текст Знак"/>
    <w:basedOn w:val="DefaultParagraphFont"/>
    <w:link w:val="a0"/>
    <w:uiPriority w:val="99"/>
    <w:rsid w:val="00f47d9c"/>
    <w:rPr>
      <w:rFonts w:ascii="Times New Roman" w:hAnsi="Times New Roman" w:eastAsia="Calibri" w:cs="Times New Roman"/>
      <w:sz w:val="20"/>
      <w:szCs w:val="20"/>
      <w:lang w:eastAsia="ru-RU"/>
    </w:rPr>
  </w:style>
  <w:style w:type="character" w:styleId="11" w:customStyle="1">
    <w:name w:val="Заголовок 1 Знак"/>
    <w:basedOn w:val="DefaultParagraphFont"/>
    <w:link w:val="1"/>
    <w:rsid w:val="003f4c17"/>
    <w:rPr>
      <w:rFonts w:ascii="Times New Roman" w:hAnsi="Times New Roman" w:eastAsia="Times New Roman" w:cs="Times New Roman"/>
      <w:b/>
      <w:bCs/>
      <w:sz w:val="48"/>
      <w:szCs w:val="48"/>
      <w:lang w:val="uk-UA" w:eastAsia="zh-CN"/>
    </w:rPr>
  </w:style>
  <w:style w:type="character" w:styleId="Style14" w:customStyle="1">
    <w:name w:val="Основной текст_"/>
    <w:rsid w:val="003f4c17"/>
    <w:rPr>
      <w:rFonts w:ascii="Verdana" w:hAnsi="Verdana" w:cs="Verdana"/>
      <w:sz w:val="23"/>
      <w:szCs w:val="23"/>
      <w:lang w:val="en-US" w:bidi="ar-SA"/>
    </w:rPr>
  </w:style>
  <w:style w:type="character" w:styleId="Style15" w:customStyle="1">
    <w:name w:val="Текст выноски Знак"/>
    <w:basedOn w:val="DefaultParagraphFont"/>
    <w:link w:val="a8"/>
    <w:uiPriority w:val="99"/>
    <w:semiHidden/>
    <w:rsid w:val="00472e12"/>
    <w:rPr>
      <w:rFonts w:ascii="Tahoma" w:hAnsi="Tahoma" w:cs="Tahoma"/>
      <w:sz w:val="16"/>
      <w:szCs w:val="16"/>
    </w:rPr>
  </w:style>
  <w:style w:type="character" w:styleId="Style16" w:customStyle="1">
    <w:name w:val="Верхний колонтитул Знак"/>
    <w:basedOn w:val="DefaultParagraphFont"/>
    <w:link w:val="aa"/>
    <w:uiPriority w:val="99"/>
    <w:rsid w:val="0029487e"/>
    <w:rPr/>
  </w:style>
  <w:style w:type="character" w:styleId="Style17" w:customStyle="1">
    <w:name w:val="Нижний колонтитул Знак"/>
    <w:basedOn w:val="DefaultParagraphFont"/>
    <w:link w:val="ac"/>
    <w:uiPriority w:val="99"/>
    <w:rsid w:val="0029487e"/>
    <w:rPr/>
  </w:style>
  <w:style w:type="paragraph" w:styleId="Style18">
    <w:name w:val="Заголовок"/>
    <w:basedOn w:val="Normal"/>
    <w:next w:val="Style19"/>
    <w:pPr>
      <w:keepNext/>
      <w:spacing w:before="240" w:after="120"/>
    </w:pPr>
    <w:rPr>
      <w:rFonts w:ascii="Liberation Sans" w:hAnsi="Liberation Sans" w:eastAsia="Tahoma" w:cs="Lohit Devanagari"/>
      <w:sz w:val="28"/>
      <w:szCs w:val="28"/>
    </w:rPr>
  </w:style>
  <w:style w:type="paragraph" w:styleId="Style19">
    <w:name w:val="Основной текст"/>
    <w:basedOn w:val="Normal"/>
    <w:link w:val="a6"/>
    <w:uiPriority w:val="99"/>
    <w:rsid w:val="00f47d9c"/>
    <w:pPr>
      <w:widowControl w:val="false"/>
      <w:suppressAutoHyphens w:val="true"/>
      <w:spacing w:lineRule="auto" w:line="240" w:before="0" w:after="0"/>
      <w:jc w:val="both"/>
      <w:textAlignment w:val="baseline"/>
    </w:pPr>
    <w:rPr>
      <w:rFonts w:ascii="Times New Roman" w:hAnsi="Times New Roman" w:eastAsia="Calibri" w:cs="Times New Roman"/>
      <w:sz w:val="20"/>
      <w:szCs w:val="20"/>
      <w:lang w:eastAsia="ru-RU" w:bidi="hi-IN"/>
    </w:rPr>
  </w:style>
  <w:style w:type="paragraph" w:styleId="Style20">
    <w:name w:val="Список"/>
    <w:basedOn w:val="Style19"/>
    <w:pPr/>
    <w:rPr>
      <w:rFonts w:cs="Lohit Devanagari"/>
    </w:rPr>
  </w:style>
  <w:style w:type="paragraph" w:styleId="Style21">
    <w:name w:val="Название"/>
    <w:basedOn w:val="Normal"/>
    <w:pPr>
      <w:suppressLineNumbers/>
      <w:spacing w:before="120" w:after="120"/>
    </w:pPr>
    <w:rPr>
      <w:rFonts w:cs="Lohit Devanagari"/>
      <w:i/>
      <w:iCs/>
      <w:sz w:val="24"/>
      <w:szCs w:val="24"/>
    </w:rPr>
  </w:style>
  <w:style w:type="paragraph" w:styleId="Style22">
    <w:name w:val="Указатель"/>
    <w:basedOn w:val="Normal"/>
    <w:pPr>
      <w:suppressLineNumbers/>
    </w:pPr>
    <w:rPr>
      <w:rFonts w:cs="Lohit Devanagari"/>
    </w:rPr>
  </w:style>
  <w:style w:type="paragraph" w:styleId="NormalWeb">
    <w:name w:val="Normal (Web)"/>
    <w:basedOn w:val="Normal"/>
    <w:uiPriority w:val="99"/>
    <w:rsid w:val="00b26ed9"/>
    <w:pPr>
      <w:spacing w:lineRule="auto" w:line="240" w:before="280" w:after="119"/>
    </w:pPr>
    <w:rPr>
      <w:rFonts w:ascii="Times New Roman" w:hAnsi="Times New Roman" w:eastAsia="Times New Roman" w:cs="Times New Roman"/>
      <w:sz w:val="24"/>
      <w:szCs w:val="24"/>
      <w:lang w:eastAsia="ru-RU"/>
    </w:rPr>
  </w:style>
  <w:style w:type="paragraph" w:styleId="NoSpacing">
    <w:name w:val="No Spacing"/>
    <w:uiPriority w:val="1"/>
    <w:qFormat/>
    <w:rsid w:val="00865c94"/>
    <w:pPr>
      <w:widowControl/>
      <w:suppressAutoHyphens w:val="true"/>
      <w:bidi w:val="0"/>
      <w:spacing w:lineRule="auto" w:line="240" w:before="0" w:after="0"/>
      <w:jc w:val="left"/>
    </w:pPr>
    <w:rPr>
      <w:rFonts w:ascii="Calibri" w:hAnsi="Calibri" w:eastAsia="Times New Roman" w:cs="Times New Roman" w:asciiTheme="minorHAnsi" w:hAnsiTheme="minorHAnsi"/>
      <w:color w:val="00000A"/>
      <w:sz w:val="22"/>
      <w:szCs w:val="22"/>
      <w:lang w:val="ru-RU" w:eastAsia="ru-RU" w:bidi="ar-SA"/>
    </w:rPr>
  </w:style>
  <w:style w:type="paragraph" w:styleId="20202014" w:customStyle="1">
    <w:name w:val="фссп_20_содержимое_20_таблицы_20_14"/>
    <w:basedOn w:val="Normal"/>
    <w:uiPriority w:val="99"/>
    <w:rsid w:val="005962e7"/>
    <w:pPr>
      <w:spacing w:lineRule="auto" w:line="240" w:before="280" w:after="280"/>
    </w:pPr>
    <w:rPr>
      <w:rFonts w:ascii="Times New Roman" w:hAnsi="Times New Roman" w:eastAsia="Times New Roman" w:cs="Times New Roman"/>
      <w:sz w:val="24"/>
      <w:szCs w:val="24"/>
      <w:lang w:val="uk-UA" w:eastAsia="uk-UA"/>
    </w:rPr>
  </w:style>
  <w:style w:type="paragraph" w:styleId="BalloonText">
    <w:name w:val="Balloon Text"/>
    <w:basedOn w:val="Normal"/>
    <w:link w:val="a9"/>
    <w:uiPriority w:val="99"/>
    <w:semiHidden/>
    <w:unhideWhenUsed/>
    <w:rsid w:val="00472e12"/>
    <w:pPr>
      <w:spacing w:lineRule="auto" w:line="240" w:before="0" w:after="0"/>
    </w:pPr>
    <w:rPr>
      <w:rFonts w:ascii="Tahoma" w:hAnsi="Tahoma" w:cs="Tahoma"/>
      <w:sz w:val="16"/>
      <w:szCs w:val="16"/>
    </w:rPr>
  </w:style>
  <w:style w:type="paragraph" w:styleId="Style23">
    <w:name w:val="Верхний колонтитул"/>
    <w:basedOn w:val="Normal"/>
    <w:link w:val="ab"/>
    <w:uiPriority w:val="99"/>
    <w:unhideWhenUsed/>
    <w:rsid w:val="0029487e"/>
    <w:pPr>
      <w:tabs>
        <w:tab w:val="center" w:pos="4677" w:leader="none"/>
        <w:tab w:val="right" w:pos="9355" w:leader="none"/>
      </w:tabs>
      <w:spacing w:lineRule="auto" w:line="240" w:before="0" w:after="0"/>
    </w:pPr>
    <w:rPr/>
  </w:style>
  <w:style w:type="paragraph" w:styleId="Style24">
    <w:name w:val="Нижний колонтитул"/>
    <w:basedOn w:val="Normal"/>
    <w:link w:val="ad"/>
    <w:uiPriority w:val="99"/>
    <w:unhideWhenUsed/>
    <w:rsid w:val="0029487e"/>
    <w:pPr>
      <w:tabs>
        <w:tab w:val="center" w:pos="4677" w:leader="none"/>
        <w:tab w:val="right" w:pos="9355" w:leader="none"/>
      </w:tabs>
      <w:spacing w:lineRule="auto" w:line="240" w:before="0" w:after="0"/>
    </w:pPr>
    <w:rPr/>
  </w:style>
  <w:style w:type="numbering" w:styleId="NoList" w:default="1">
    <w:name w:val="No List"/>
    <w:uiPriority w:val="99"/>
    <w:semiHidden/>
    <w:unhideWhenUsed/>
  </w:style>
  <w:style w:type="table" w:default="1" w:styleId="a2">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Application>LibreOffice/4.3.7.2$Linux_X86_64 LibreOffice_project/430$Build-2</Application>
  <Paragraphs>101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2019-02-06T13:10:00Z</dcterms:created>
  <dc:creator>ОКР</dc:creator>
  <dc:language>ru-RU</dc:language>
  <cp:lastModifiedBy>unix  </cp:lastModifiedBy>
  <cp:lastPrinted>2019-02-18T13:57:00Z</cp:lastPrinted>
  <dcterms:modified xsi:type="dcterms:W3CDTF">2019-03-13T09:55:29Z</dcterms:modified>
  <cp:revision>172</cp:revision>
</cp:coreProperties>
</file>